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B85D1" w14:textId="7B81990C" w:rsidR="007701A6" w:rsidRDefault="00AB5741" w:rsidP="00AB5741">
      <w:pPr>
        <w:rPr>
          <w:rFonts w:ascii="Arial" w:eastAsia="Times New Roman" w:hAnsi="Arial" w:cs="Arial"/>
          <w:i/>
          <w:iCs/>
          <w:color w:val="000000" w:themeColor="text1"/>
          <w:sz w:val="22"/>
          <w:szCs w:val="22"/>
          <w:shd w:val="clear" w:color="auto" w:fill="FFFFFF"/>
          <w:vertAlign w:val="superscript"/>
          <w:lang w:eastAsia="de-DE"/>
        </w:rPr>
      </w:pPr>
      <w:r w:rsidRPr="009075A4">
        <w:rPr>
          <w:rFonts w:ascii="Arial" w:eastAsia="Times New Roman" w:hAnsi="Arial" w:cs="Arial"/>
          <w:color w:val="000000" w:themeColor="text1"/>
          <w:sz w:val="22"/>
          <w:szCs w:val="22"/>
          <w:shd w:val="clear" w:color="auto" w:fill="FFFFFF"/>
          <w:lang w:eastAsia="de-DE"/>
        </w:rPr>
        <w:t xml:space="preserve">PRESSEMITTEILUNG - </w:t>
      </w:r>
      <w:r w:rsidRPr="009075A4">
        <w:rPr>
          <w:rFonts w:ascii="Arial" w:eastAsia="Times New Roman" w:hAnsi="Arial" w:cs="Arial"/>
          <w:color w:val="000000" w:themeColor="text1"/>
          <w:sz w:val="22"/>
          <w:szCs w:val="22"/>
          <w:shd w:val="clear" w:color="auto" w:fill="FFFFFF"/>
          <w:lang w:eastAsia="de-DE"/>
        </w:rPr>
        <w:br/>
      </w:r>
      <w:r w:rsidRPr="009075A4">
        <w:rPr>
          <w:rFonts w:ascii="Arial" w:eastAsia="Times New Roman" w:hAnsi="Arial" w:cs="Arial"/>
          <w:color w:val="000000" w:themeColor="text1"/>
          <w:sz w:val="22"/>
          <w:szCs w:val="22"/>
          <w:shd w:val="clear" w:color="auto" w:fill="FFFFFF"/>
          <w:lang w:eastAsia="de-DE"/>
        </w:rPr>
        <w:br/>
      </w:r>
      <w:r w:rsidR="007701A6">
        <w:rPr>
          <w:rFonts w:ascii="Arial" w:eastAsia="Times New Roman" w:hAnsi="Arial" w:cs="Arial"/>
          <w:i/>
          <w:iCs/>
          <w:color w:val="000000" w:themeColor="text1"/>
          <w:sz w:val="22"/>
          <w:szCs w:val="22"/>
          <w:shd w:val="clear" w:color="auto" w:fill="FFFFFF"/>
          <w:lang w:eastAsia="de-DE"/>
        </w:rPr>
        <w:t>Deutsches IVF-Register e.V. (D·I·R)</w:t>
      </w:r>
    </w:p>
    <w:p w14:paraId="1EA834CA" w14:textId="77777777" w:rsidR="007701A6" w:rsidRPr="007701A6" w:rsidRDefault="007701A6" w:rsidP="00AB5741">
      <w:pPr>
        <w:rPr>
          <w:rFonts w:ascii="Arial" w:eastAsia="Times New Roman" w:hAnsi="Arial" w:cs="Arial"/>
          <w:i/>
          <w:iCs/>
          <w:color w:val="000000" w:themeColor="text1"/>
          <w:sz w:val="22"/>
          <w:szCs w:val="22"/>
          <w:shd w:val="clear" w:color="auto" w:fill="FFFFFF"/>
          <w:vertAlign w:val="superscript"/>
          <w:lang w:eastAsia="de-DE"/>
        </w:rPr>
      </w:pPr>
    </w:p>
    <w:p w14:paraId="5D0148DB" w14:textId="5B35022D" w:rsidR="009075A4" w:rsidRDefault="00AB5741" w:rsidP="00AB5741">
      <w:pPr>
        <w:rPr>
          <w:rFonts w:ascii="Arial" w:eastAsia="Times New Roman" w:hAnsi="Arial" w:cs="Arial"/>
          <w:b/>
          <w:bCs/>
          <w:color w:val="000000" w:themeColor="text1"/>
          <w:sz w:val="22"/>
          <w:szCs w:val="22"/>
          <w:shd w:val="clear" w:color="auto" w:fill="FFFFFF"/>
          <w:lang w:eastAsia="de-DE"/>
        </w:rPr>
      </w:pPr>
      <w:r w:rsidRPr="009075A4">
        <w:rPr>
          <w:rFonts w:ascii="Arial" w:eastAsia="Times New Roman" w:hAnsi="Arial" w:cs="Arial"/>
          <w:i/>
          <w:iCs/>
          <w:color w:val="000000" w:themeColor="text1"/>
          <w:sz w:val="22"/>
          <w:szCs w:val="22"/>
          <w:shd w:val="clear" w:color="auto" w:fill="FFFFFF"/>
          <w:lang w:eastAsia="de-DE"/>
        </w:rPr>
        <w:t>D·I·R</w:t>
      </w:r>
      <w:r w:rsidR="00B801B1">
        <w:rPr>
          <w:rFonts w:ascii="Arial" w:eastAsia="Times New Roman" w:hAnsi="Arial" w:cs="Arial"/>
          <w:i/>
          <w:iCs/>
          <w:color w:val="000000" w:themeColor="text1"/>
          <w:sz w:val="22"/>
          <w:szCs w:val="22"/>
          <w:shd w:val="clear" w:color="auto" w:fill="FFFFFF"/>
          <w:lang w:eastAsia="de-DE"/>
        </w:rPr>
        <w:t xml:space="preserve"> </w:t>
      </w:r>
      <w:r w:rsidRPr="009075A4">
        <w:rPr>
          <w:rFonts w:ascii="Arial" w:eastAsia="Times New Roman" w:hAnsi="Arial" w:cs="Arial"/>
          <w:i/>
          <w:iCs/>
          <w:color w:val="000000" w:themeColor="text1"/>
          <w:sz w:val="22"/>
          <w:szCs w:val="22"/>
          <w:shd w:val="clear" w:color="auto" w:fill="FFFFFF"/>
          <w:lang w:eastAsia="de-DE"/>
        </w:rPr>
        <w:t>Jahrbuch 20</w:t>
      </w:r>
      <w:r w:rsidR="009075A4" w:rsidRPr="009075A4">
        <w:rPr>
          <w:rFonts w:ascii="Arial" w:eastAsia="Times New Roman" w:hAnsi="Arial" w:cs="Arial"/>
          <w:i/>
          <w:iCs/>
          <w:color w:val="000000" w:themeColor="text1"/>
          <w:sz w:val="22"/>
          <w:szCs w:val="22"/>
          <w:shd w:val="clear" w:color="auto" w:fill="FFFFFF"/>
          <w:lang w:eastAsia="de-DE"/>
        </w:rPr>
        <w:t>2</w:t>
      </w:r>
      <w:r w:rsidR="00B801B1">
        <w:rPr>
          <w:rFonts w:ascii="Arial" w:eastAsia="Times New Roman" w:hAnsi="Arial" w:cs="Arial"/>
          <w:i/>
          <w:iCs/>
          <w:color w:val="000000" w:themeColor="text1"/>
          <w:sz w:val="22"/>
          <w:szCs w:val="22"/>
          <w:shd w:val="clear" w:color="auto" w:fill="FFFFFF"/>
          <w:lang w:eastAsia="de-DE"/>
        </w:rPr>
        <w:t>4</w:t>
      </w:r>
      <w:r w:rsidRPr="009075A4">
        <w:rPr>
          <w:rFonts w:ascii="Arial" w:eastAsia="Times New Roman" w:hAnsi="Arial" w:cs="Arial"/>
          <w:color w:val="000000" w:themeColor="text1"/>
          <w:sz w:val="22"/>
          <w:szCs w:val="22"/>
          <w:shd w:val="clear" w:color="auto" w:fill="FFFFFF"/>
          <w:lang w:eastAsia="de-DE"/>
        </w:rPr>
        <w:br/>
      </w:r>
    </w:p>
    <w:p w14:paraId="72220304" w14:textId="486A80B6" w:rsidR="009075A4" w:rsidRDefault="006F4E69" w:rsidP="00AB5741">
      <w:pPr>
        <w:rPr>
          <w:rFonts w:ascii="Arial" w:eastAsia="Times New Roman" w:hAnsi="Arial" w:cs="Arial"/>
          <w:b/>
          <w:bCs/>
          <w:color w:val="000000" w:themeColor="text1"/>
          <w:sz w:val="22"/>
          <w:szCs w:val="22"/>
          <w:shd w:val="clear" w:color="auto" w:fill="FFFFFF"/>
          <w:lang w:eastAsia="de-DE"/>
        </w:rPr>
      </w:pPr>
      <w:r>
        <w:rPr>
          <w:rFonts w:ascii="Arial" w:eastAsia="Times New Roman" w:hAnsi="Arial" w:cs="Arial"/>
          <w:b/>
          <w:bCs/>
          <w:color w:val="000000" w:themeColor="text1"/>
          <w:sz w:val="22"/>
          <w:szCs w:val="22"/>
          <w:shd w:val="clear" w:color="auto" w:fill="FFFFFF"/>
          <w:lang w:eastAsia="de-DE"/>
        </w:rPr>
        <w:t xml:space="preserve">Aktuelle Zahlen und Fakten zur </w:t>
      </w:r>
      <w:r w:rsidR="007701A6">
        <w:rPr>
          <w:rFonts w:ascii="Arial" w:eastAsia="Times New Roman" w:hAnsi="Arial" w:cs="Arial"/>
          <w:b/>
          <w:bCs/>
          <w:color w:val="000000" w:themeColor="text1"/>
          <w:sz w:val="22"/>
          <w:szCs w:val="22"/>
          <w:shd w:val="clear" w:color="auto" w:fill="FFFFFF"/>
          <w:lang w:eastAsia="de-DE"/>
        </w:rPr>
        <w:t xml:space="preserve">Kinderwunschmedizin </w:t>
      </w:r>
    </w:p>
    <w:p w14:paraId="2B256C36" w14:textId="77777777" w:rsidR="00B43C33" w:rsidRDefault="00B43C33" w:rsidP="00AB5741">
      <w:pPr>
        <w:rPr>
          <w:rFonts w:ascii="Arial" w:eastAsia="Times New Roman" w:hAnsi="Arial" w:cs="Arial"/>
          <w:b/>
          <w:bCs/>
          <w:color w:val="000000" w:themeColor="text1"/>
          <w:sz w:val="28"/>
          <w:szCs w:val="28"/>
          <w:shd w:val="clear" w:color="auto" w:fill="FFFFFF"/>
          <w:lang w:eastAsia="de-DE"/>
        </w:rPr>
      </w:pPr>
    </w:p>
    <w:p w14:paraId="70225E2E" w14:textId="77777777" w:rsidR="00B801B1" w:rsidRPr="00F75D5C" w:rsidRDefault="00B801B1" w:rsidP="00B801B1">
      <w:pPr>
        <w:rPr>
          <w:rFonts w:ascii="Arial" w:hAnsi="Arial" w:cs="Arial"/>
          <w:b/>
          <w:color w:val="000000" w:themeColor="text1"/>
          <w:sz w:val="28"/>
          <w:szCs w:val="28"/>
          <w:shd w:val="clear" w:color="auto" w:fill="FFFFFF"/>
        </w:rPr>
      </w:pPr>
      <w:r w:rsidRPr="00F75D5C">
        <w:rPr>
          <w:rFonts w:ascii="Arial" w:hAnsi="Arial" w:cs="Arial"/>
          <w:b/>
          <w:color w:val="000000" w:themeColor="text1"/>
          <w:sz w:val="28"/>
          <w:szCs w:val="28"/>
          <w:shd w:val="clear" w:color="auto" w:fill="FFFFFF"/>
        </w:rPr>
        <w:t>Zahl der Mehrlingsgeburten nach Kinderwunschbehandlung sinkt weiter</w:t>
      </w:r>
    </w:p>
    <w:p w14:paraId="53E43049" w14:textId="77777777" w:rsidR="00A72786" w:rsidRPr="00C74541" w:rsidRDefault="00A72786" w:rsidP="00AB5741">
      <w:pPr>
        <w:rPr>
          <w:rFonts w:ascii="Arial" w:eastAsia="Times New Roman" w:hAnsi="Arial" w:cs="Arial"/>
          <w:bCs/>
          <w:i/>
          <w:iCs/>
          <w:color w:val="000000" w:themeColor="text1"/>
          <w:sz w:val="22"/>
          <w:szCs w:val="22"/>
          <w:shd w:val="clear" w:color="auto" w:fill="FFFFFF"/>
          <w:lang w:eastAsia="de-DE"/>
        </w:rPr>
      </w:pPr>
    </w:p>
    <w:p w14:paraId="7C5E2749" w14:textId="4EE136A5" w:rsidR="00B801B1" w:rsidRDefault="00B801B1" w:rsidP="00B801B1">
      <w:pPr>
        <w:rPr>
          <w:rFonts w:ascii="Arial" w:hAnsi="Arial" w:cs="Arial"/>
          <w:b/>
          <w:bCs/>
          <w:i/>
          <w:iCs/>
          <w:color w:val="000000"/>
          <w:sz w:val="22"/>
          <w:szCs w:val="22"/>
        </w:rPr>
      </w:pPr>
      <w:r w:rsidRPr="00604E48">
        <w:rPr>
          <w:rFonts w:ascii="Arial" w:hAnsi="Arial" w:cs="Arial"/>
          <w:b/>
          <w:bCs/>
          <w:i/>
          <w:iCs/>
          <w:color w:val="000000"/>
          <w:sz w:val="22"/>
          <w:szCs w:val="22"/>
        </w:rPr>
        <w:t xml:space="preserve">Neue Daten des Deutschen IVF-Registers (D·I·R) zeigen, dass die Mehrlingsgeburtenrate nach künstlicher Befruchtung erstmals unter zehn Prozent liegt. Seit 1997 wurden über 430.000 Kinder durch </w:t>
      </w:r>
      <w:r w:rsidR="00306B0E">
        <w:rPr>
          <w:rFonts w:ascii="Arial" w:hAnsi="Arial" w:cs="Arial"/>
          <w:b/>
          <w:bCs/>
          <w:i/>
          <w:iCs/>
          <w:color w:val="000000"/>
          <w:sz w:val="22"/>
          <w:szCs w:val="22"/>
        </w:rPr>
        <w:t xml:space="preserve">die </w:t>
      </w:r>
      <w:r w:rsidRPr="00604E48">
        <w:rPr>
          <w:rFonts w:ascii="Arial" w:hAnsi="Arial" w:cs="Arial"/>
          <w:b/>
          <w:bCs/>
          <w:i/>
          <w:iCs/>
          <w:color w:val="000000"/>
          <w:sz w:val="22"/>
          <w:szCs w:val="22"/>
        </w:rPr>
        <w:t>Kinderwunschmedizin geboren. Etablierte Methoden wie Single Embryo Transfer reduzieren Mehrlings- und Frühgeburtenrisiken, während das Alter der Mutter weiterhin entscheidend für den Erfolg bleibt.</w:t>
      </w:r>
    </w:p>
    <w:p w14:paraId="6D258A5B" w14:textId="77777777" w:rsidR="00B801B1" w:rsidRPr="00604E48" w:rsidRDefault="00B801B1" w:rsidP="00B801B1">
      <w:pPr>
        <w:rPr>
          <w:rFonts w:ascii="Arial" w:hAnsi="Arial" w:cs="Arial"/>
          <w:b/>
          <w:bCs/>
          <w:i/>
          <w:iCs/>
          <w:color w:val="000000" w:themeColor="text1"/>
          <w:sz w:val="22"/>
          <w:szCs w:val="22"/>
          <w:shd w:val="clear" w:color="auto" w:fill="FFFFFF"/>
        </w:rPr>
      </w:pPr>
    </w:p>
    <w:p w14:paraId="1555013D" w14:textId="77777777" w:rsidR="00B801B1" w:rsidRDefault="00B801B1" w:rsidP="00B801B1">
      <w:pPr>
        <w:autoSpaceDE w:val="0"/>
        <w:autoSpaceDN w:val="0"/>
        <w:adjustRightInd w:val="0"/>
        <w:rPr>
          <w:rFonts w:ascii="Arial" w:hAnsi="Arial" w:cs="Arial"/>
          <w:bCs/>
          <w:color w:val="000000" w:themeColor="text1"/>
          <w:sz w:val="22"/>
          <w:szCs w:val="22"/>
          <w:shd w:val="clear" w:color="auto" w:fill="FFFFFF"/>
        </w:rPr>
      </w:pPr>
      <w:r>
        <w:rPr>
          <w:rFonts w:ascii="Arial" w:hAnsi="Arial" w:cs="Arial"/>
          <w:bCs/>
          <w:color w:val="000000" w:themeColor="text1"/>
          <w:sz w:val="22"/>
          <w:szCs w:val="22"/>
          <w:shd w:val="clear" w:color="auto" w:fill="FFFFFF"/>
        </w:rPr>
        <w:t xml:space="preserve">Weniger Mehrlinge, weniger Frühgeburten - die neuesten Zahlen zu den Kinderwunschbehandlungen in Deutschland zeigen, dass sich das Konzept des „Single Embryo Transfers“ (SET), bei dem nur ein Embryo zurückgegeben wird, bewährt. Galten </w:t>
      </w:r>
      <w:r w:rsidRPr="00B31A47">
        <w:rPr>
          <w:rFonts w:ascii="Arial" w:hAnsi="Arial" w:cs="Arial"/>
          <w:bCs/>
          <w:color w:val="000000" w:themeColor="text1"/>
          <w:sz w:val="22"/>
          <w:szCs w:val="22"/>
          <w:shd w:val="clear" w:color="auto" w:fill="FFFFFF"/>
        </w:rPr>
        <w:t>Mehrlingsgeburten nach erfolgreicher Kinderwunschbehandl</w:t>
      </w:r>
      <w:r>
        <w:rPr>
          <w:rFonts w:ascii="Arial" w:hAnsi="Arial" w:cs="Arial"/>
          <w:bCs/>
          <w:color w:val="000000" w:themeColor="text1"/>
          <w:sz w:val="22"/>
          <w:szCs w:val="22"/>
          <w:shd w:val="clear" w:color="auto" w:fill="FFFFFF"/>
        </w:rPr>
        <w:t xml:space="preserve">ung früher häufig als Regel durch zwei oder gar mehr zurückgegebene Embryonen, ist dieser Trend deutlich rückläufig. „Wir kommen von über 20 Prozent und haben nun erstmals eine Rate von unter 10 Prozent bei den Mehrlingsgeburten“, sagt Prof. Dr. med. Jan-Steffen Krüssel, Vorstandsmitglied im Deutschen IVF-Register e.V. (D·I·R). Insgesamt 134.281 Behandlungszyklen sind für das Jahr 2024 in der Kinderwunschmedizin dokumentiert. Die neuesten Zahlen des </w:t>
      </w:r>
      <w:r w:rsidRPr="00B7517A">
        <w:rPr>
          <w:rFonts w:ascii="Arial" w:hAnsi="Arial" w:cs="Arial"/>
          <w:bCs/>
          <w:color w:val="000000" w:themeColor="text1"/>
          <w:sz w:val="22"/>
          <w:szCs w:val="22"/>
          <w:shd w:val="clear" w:color="auto" w:fill="FFFFFF"/>
        </w:rPr>
        <w:t>Deutsche</w:t>
      </w:r>
      <w:r>
        <w:rPr>
          <w:rFonts w:ascii="Arial" w:hAnsi="Arial" w:cs="Arial"/>
          <w:bCs/>
          <w:color w:val="000000" w:themeColor="text1"/>
          <w:sz w:val="22"/>
          <w:szCs w:val="22"/>
          <w:shd w:val="clear" w:color="auto" w:fill="FFFFFF"/>
        </w:rPr>
        <w:t xml:space="preserve">n </w:t>
      </w:r>
      <w:r w:rsidRPr="00B7517A">
        <w:rPr>
          <w:rFonts w:ascii="Arial" w:hAnsi="Arial" w:cs="Arial"/>
          <w:bCs/>
          <w:color w:val="000000" w:themeColor="text1"/>
          <w:sz w:val="22"/>
          <w:szCs w:val="22"/>
          <w:shd w:val="clear" w:color="auto" w:fill="FFFFFF"/>
        </w:rPr>
        <w:t>IVF-Register e.V. (D·I·R)</w:t>
      </w:r>
      <w:r>
        <w:rPr>
          <w:rFonts w:ascii="Arial" w:hAnsi="Arial" w:cs="Arial"/>
          <w:bCs/>
          <w:color w:val="000000" w:themeColor="text1"/>
          <w:sz w:val="22"/>
          <w:szCs w:val="22"/>
          <w:shd w:val="clear" w:color="auto" w:fill="FFFFFF"/>
        </w:rPr>
        <w:t xml:space="preserve"> zeigen zudem, dass sich die Schwangerschaftsraten beim Transfer von Frisch- und Auftauzyklen kaum noch unterscheiden. „Hier liegen die Schwangerschaftsraten für das Jahr 2024 bei nun beiden Behandlungsarten und durch die sich stetig verbessernden Verfahren bei den Auftauzyklen bei 30 bis 31 Prozent“, sagt Prof. Dr. med. Krüssel.</w:t>
      </w:r>
    </w:p>
    <w:p w14:paraId="791D3EC0" w14:textId="77777777" w:rsidR="00B801B1" w:rsidRDefault="00B801B1" w:rsidP="00B801B1">
      <w:pPr>
        <w:autoSpaceDE w:val="0"/>
        <w:autoSpaceDN w:val="0"/>
        <w:adjustRightInd w:val="0"/>
        <w:rPr>
          <w:rFonts w:ascii="Arial" w:hAnsi="Arial" w:cs="Arial"/>
          <w:bCs/>
          <w:color w:val="000000" w:themeColor="text1"/>
          <w:sz w:val="22"/>
          <w:szCs w:val="22"/>
          <w:shd w:val="clear" w:color="auto" w:fill="FFFFFF"/>
        </w:rPr>
      </w:pPr>
    </w:p>
    <w:p w14:paraId="71FD316D" w14:textId="77777777" w:rsidR="00B801B1" w:rsidRDefault="00B801B1" w:rsidP="00B801B1">
      <w:pPr>
        <w:autoSpaceDE w:val="0"/>
        <w:autoSpaceDN w:val="0"/>
        <w:adjustRightInd w:val="0"/>
        <w:rPr>
          <w:rFonts w:ascii="Arial" w:hAnsi="Arial" w:cs="Arial"/>
          <w:color w:val="000000"/>
          <w:sz w:val="22"/>
          <w:szCs w:val="22"/>
        </w:rPr>
      </w:pPr>
      <w:r>
        <w:rPr>
          <w:rFonts w:ascii="Arial" w:hAnsi="Arial" w:cs="Arial"/>
          <w:bCs/>
          <w:color w:val="000000" w:themeColor="text1"/>
          <w:sz w:val="22"/>
          <w:szCs w:val="22"/>
          <w:shd w:val="clear" w:color="auto" w:fill="FFFFFF"/>
        </w:rPr>
        <w:t>Schon seit 1997 sind die deutschen Behandlungsdaten zur Kinderwunschmedizin elektronisch erfasst und damit sehr gut dokumentiert. Seit diesem Zeitpunkt wurden über 2,6 Millionen Behandlungen erfasst. In</w:t>
      </w:r>
      <w:r w:rsidRPr="007F18D2">
        <w:rPr>
          <w:rFonts w:ascii="Arial" w:hAnsi="Arial" w:cs="Arial"/>
          <w:color w:val="000000"/>
          <w:sz w:val="22"/>
          <w:szCs w:val="22"/>
        </w:rPr>
        <w:t xml:space="preserve"> Deutschland</w:t>
      </w:r>
      <w:r>
        <w:rPr>
          <w:rFonts w:ascii="Arial" w:hAnsi="Arial" w:cs="Arial"/>
          <w:color w:val="000000"/>
          <w:sz w:val="22"/>
          <w:szCs w:val="22"/>
        </w:rPr>
        <w:t xml:space="preserve"> kamen</w:t>
      </w:r>
      <w:r w:rsidRPr="007F18D2">
        <w:rPr>
          <w:rFonts w:ascii="Arial" w:hAnsi="Arial" w:cs="Arial"/>
          <w:color w:val="000000"/>
          <w:sz w:val="22"/>
          <w:szCs w:val="22"/>
        </w:rPr>
        <w:t xml:space="preserve"> inzwischen 4</w:t>
      </w:r>
      <w:r>
        <w:rPr>
          <w:rFonts w:ascii="Arial" w:hAnsi="Arial" w:cs="Arial"/>
          <w:color w:val="000000"/>
          <w:sz w:val="22"/>
          <w:szCs w:val="22"/>
        </w:rPr>
        <w:t xml:space="preserve">33.858 </w:t>
      </w:r>
      <w:r w:rsidRPr="007F18D2">
        <w:rPr>
          <w:rFonts w:ascii="Arial" w:hAnsi="Arial" w:cs="Arial"/>
          <w:color w:val="000000"/>
          <w:sz w:val="22"/>
          <w:szCs w:val="22"/>
        </w:rPr>
        <w:t>Kinder</w:t>
      </w:r>
      <w:r>
        <w:rPr>
          <w:rFonts w:ascii="Arial" w:hAnsi="Arial" w:cs="Arial"/>
          <w:color w:val="000000"/>
          <w:sz w:val="22"/>
          <w:szCs w:val="22"/>
        </w:rPr>
        <w:t xml:space="preserve"> nach einer Kinderwunschbehandlung </w:t>
      </w:r>
      <w:r w:rsidRPr="007F18D2">
        <w:rPr>
          <w:rFonts w:ascii="Arial" w:hAnsi="Arial" w:cs="Arial"/>
          <w:color w:val="000000"/>
          <w:sz w:val="22"/>
          <w:szCs w:val="22"/>
        </w:rPr>
        <w:t>zur Welt</w:t>
      </w:r>
      <w:r>
        <w:rPr>
          <w:rFonts w:ascii="Arial" w:hAnsi="Arial" w:cs="Arial"/>
          <w:color w:val="000000"/>
          <w:sz w:val="22"/>
          <w:szCs w:val="22"/>
        </w:rPr>
        <w:t xml:space="preserve">, was der </w:t>
      </w:r>
      <w:r w:rsidRPr="007F18D2">
        <w:rPr>
          <w:rFonts w:ascii="Arial" w:hAnsi="Arial" w:cs="Arial"/>
          <w:color w:val="000000"/>
          <w:sz w:val="22"/>
          <w:szCs w:val="22"/>
        </w:rPr>
        <w:t xml:space="preserve">Einwohnerzahl von </w:t>
      </w:r>
      <w:r>
        <w:rPr>
          <w:rFonts w:ascii="Arial" w:hAnsi="Arial" w:cs="Arial"/>
          <w:color w:val="000000"/>
          <w:sz w:val="22"/>
          <w:szCs w:val="22"/>
        </w:rPr>
        <w:t xml:space="preserve">zwei deutschen großen Städten </w:t>
      </w:r>
      <w:r w:rsidRPr="007F18D2">
        <w:rPr>
          <w:rFonts w:ascii="Arial" w:hAnsi="Arial" w:cs="Arial"/>
          <w:color w:val="000000"/>
          <w:sz w:val="22"/>
          <w:szCs w:val="22"/>
        </w:rPr>
        <w:t xml:space="preserve">wie </w:t>
      </w:r>
      <w:r>
        <w:rPr>
          <w:rFonts w:ascii="Arial" w:hAnsi="Arial" w:cs="Arial"/>
          <w:color w:val="000000"/>
          <w:sz w:val="22"/>
          <w:szCs w:val="22"/>
        </w:rPr>
        <w:t xml:space="preserve">Saarbrücken und Chemnitz zusammen entspricht. „Wir greifen da auf viele Daten und Erfahrungen zurück“, sagt Dr. med. Andreas Tandler-Schneider, der </w:t>
      </w:r>
      <w:r>
        <w:rPr>
          <w:rFonts w:ascii="Arial" w:hAnsi="Arial" w:cs="Arial"/>
          <w:bCs/>
          <w:color w:val="000000" w:themeColor="text1"/>
          <w:sz w:val="22"/>
          <w:szCs w:val="22"/>
          <w:shd w:val="clear" w:color="auto" w:fill="FFFFFF"/>
        </w:rPr>
        <w:t>Vorstandsvorsitzende des Deutschen IVF-Registers e.V. (D·I·R)</w:t>
      </w:r>
      <w:r>
        <w:rPr>
          <w:rFonts w:ascii="Arial" w:hAnsi="Arial" w:cs="Arial"/>
          <w:color w:val="000000"/>
          <w:sz w:val="22"/>
          <w:szCs w:val="22"/>
        </w:rPr>
        <w:t>. Für j</w:t>
      </w:r>
      <w:r w:rsidRPr="00B723C5">
        <w:rPr>
          <w:rFonts w:ascii="Arial" w:hAnsi="Arial" w:cs="Arial"/>
          <w:color w:val="000000"/>
          <w:sz w:val="22"/>
          <w:szCs w:val="22"/>
        </w:rPr>
        <w:t>edes sechste Paar</w:t>
      </w:r>
      <w:r>
        <w:rPr>
          <w:rFonts w:ascii="Arial" w:hAnsi="Arial" w:cs="Arial"/>
          <w:color w:val="000000"/>
          <w:sz w:val="22"/>
          <w:szCs w:val="22"/>
        </w:rPr>
        <w:t xml:space="preserve">, das </w:t>
      </w:r>
      <w:r w:rsidRPr="00B723C5">
        <w:rPr>
          <w:rFonts w:ascii="Arial" w:hAnsi="Arial" w:cs="Arial"/>
          <w:color w:val="000000"/>
          <w:sz w:val="22"/>
          <w:szCs w:val="22"/>
        </w:rPr>
        <w:t>Schwierigkeiten</w:t>
      </w:r>
      <w:r>
        <w:rPr>
          <w:rFonts w:ascii="Arial" w:hAnsi="Arial" w:cs="Arial"/>
          <w:color w:val="000000"/>
          <w:sz w:val="22"/>
          <w:szCs w:val="22"/>
        </w:rPr>
        <w:t xml:space="preserve"> hat,</w:t>
      </w:r>
      <w:r w:rsidRPr="00B723C5">
        <w:rPr>
          <w:rFonts w:ascii="Arial" w:hAnsi="Arial" w:cs="Arial"/>
          <w:color w:val="000000"/>
          <w:sz w:val="22"/>
          <w:szCs w:val="22"/>
        </w:rPr>
        <w:t xml:space="preserve"> auf natürlichem Weg schwanger zu werden</w:t>
      </w:r>
      <w:r>
        <w:rPr>
          <w:rFonts w:ascii="Arial" w:hAnsi="Arial" w:cs="Arial"/>
          <w:color w:val="000000"/>
          <w:sz w:val="22"/>
          <w:szCs w:val="22"/>
        </w:rPr>
        <w:t xml:space="preserve">, bedeuten die Auswertungen und neuesten Forschungsergebnisse Hoffnung. </w:t>
      </w:r>
    </w:p>
    <w:p w14:paraId="195E0F2C" w14:textId="77777777" w:rsidR="00B801B1" w:rsidRDefault="00B801B1" w:rsidP="00B801B1">
      <w:pPr>
        <w:autoSpaceDE w:val="0"/>
        <w:autoSpaceDN w:val="0"/>
        <w:adjustRightInd w:val="0"/>
        <w:rPr>
          <w:rFonts w:ascii="Arial" w:hAnsi="Arial" w:cs="Arial"/>
          <w:color w:val="000000"/>
          <w:sz w:val="22"/>
          <w:szCs w:val="22"/>
        </w:rPr>
      </w:pPr>
    </w:p>
    <w:p w14:paraId="4878C61A" w14:textId="77777777" w:rsidR="00B801B1" w:rsidRPr="00BC727D" w:rsidRDefault="00B801B1" w:rsidP="00B801B1">
      <w:pPr>
        <w:autoSpaceDE w:val="0"/>
        <w:autoSpaceDN w:val="0"/>
        <w:adjustRightInd w:val="0"/>
        <w:rPr>
          <w:rFonts w:ascii="Arial" w:hAnsi="Arial" w:cs="Arial"/>
          <w:b/>
          <w:bCs/>
          <w:color w:val="000000"/>
          <w:sz w:val="22"/>
          <w:szCs w:val="22"/>
        </w:rPr>
      </w:pPr>
      <w:r w:rsidRPr="00BC727D">
        <w:rPr>
          <w:rFonts w:ascii="Arial" w:hAnsi="Arial" w:cs="Arial"/>
          <w:b/>
          <w:bCs/>
          <w:color w:val="000000"/>
          <w:sz w:val="22"/>
          <w:szCs w:val="22"/>
        </w:rPr>
        <w:t xml:space="preserve">Daten aus 139 Kinderwunschzentren liegen vor </w:t>
      </w:r>
    </w:p>
    <w:p w14:paraId="5C54B959" w14:textId="77777777" w:rsidR="00B801B1" w:rsidRDefault="00B801B1" w:rsidP="00B801B1">
      <w:pPr>
        <w:autoSpaceDE w:val="0"/>
        <w:autoSpaceDN w:val="0"/>
        <w:adjustRightInd w:val="0"/>
        <w:rPr>
          <w:rFonts w:ascii="Arial" w:hAnsi="Arial" w:cs="Arial"/>
          <w:color w:val="000000"/>
          <w:sz w:val="22"/>
          <w:szCs w:val="22"/>
        </w:rPr>
      </w:pPr>
    </w:p>
    <w:p w14:paraId="3957665F" w14:textId="77777777" w:rsidR="00B801B1" w:rsidRPr="00BC727D" w:rsidRDefault="00B801B1" w:rsidP="00B801B1">
      <w:pPr>
        <w:autoSpaceDE w:val="0"/>
        <w:autoSpaceDN w:val="0"/>
        <w:adjustRightInd w:val="0"/>
        <w:rPr>
          <w:rFonts w:ascii="Arial" w:hAnsi="Arial" w:cs="Arial"/>
          <w:sz w:val="22"/>
          <w:szCs w:val="22"/>
        </w:rPr>
      </w:pPr>
      <w:r>
        <w:rPr>
          <w:rFonts w:ascii="Arial" w:hAnsi="Arial" w:cs="Arial"/>
          <w:color w:val="000000"/>
          <w:sz w:val="22"/>
          <w:szCs w:val="22"/>
        </w:rPr>
        <w:t xml:space="preserve">Im </w:t>
      </w:r>
      <w:r w:rsidRPr="00F54EAF">
        <w:rPr>
          <w:rFonts w:ascii="Arial" w:hAnsi="Arial" w:cs="Arial"/>
          <w:color w:val="000000"/>
          <w:sz w:val="22"/>
          <w:szCs w:val="22"/>
        </w:rPr>
        <w:t>aktuelle</w:t>
      </w:r>
      <w:r>
        <w:rPr>
          <w:rFonts w:ascii="Arial" w:hAnsi="Arial" w:cs="Arial"/>
          <w:color w:val="000000"/>
          <w:sz w:val="22"/>
          <w:szCs w:val="22"/>
        </w:rPr>
        <w:t>n</w:t>
      </w:r>
      <w:r w:rsidRPr="00F54EAF">
        <w:rPr>
          <w:rFonts w:ascii="Arial" w:hAnsi="Arial" w:cs="Arial"/>
          <w:color w:val="000000"/>
          <w:sz w:val="22"/>
          <w:szCs w:val="22"/>
        </w:rPr>
        <w:t xml:space="preserve"> Bericht </w:t>
      </w:r>
      <w:r>
        <w:rPr>
          <w:rFonts w:ascii="Arial" w:hAnsi="Arial" w:cs="Arial"/>
          <w:color w:val="000000"/>
          <w:sz w:val="22"/>
          <w:szCs w:val="22"/>
        </w:rPr>
        <w:t xml:space="preserve">untersucht das </w:t>
      </w:r>
      <w:r w:rsidRPr="00F54EAF">
        <w:rPr>
          <w:rFonts w:ascii="Arial" w:hAnsi="Arial" w:cs="Arial"/>
          <w:color w:val="000000"/>
          <w:sz w:val="22"/>
          <w:szCs w:val="22"/>
        </w:rPr>
        <w:t xml:space="preserve">Deutsche IVF-Registers </w:t>
      </w:r>
      <w:r w:rsidRPr="00B7517A">
        <w:rPr>
          <w:rFonts w:ascii="Arial" w:hAnsi="Arial" w:cs="Arial"/>
          <w:bCs/>
          <w:color w:val="000000" w:themeColor="text1"/>
          <w:sz w:val="22"/>
          <w:szCs w:val="22"/>
          <w:shd w:val="clear" w:color="auto" w:fill="FFFFFF"/>
        </w:rPr>
        <w:t>(D·I·R)</w:t>
      </w:r>
      <w:r>
        <w:rPr>
          <w:rFonts w:ascii="Arial" w:hAnsi="Arial" w:cs="Arial"/>
          <w:bCs/>
          <w:color w:val="000000" w:themeColor="text1"/>
          <w:sz w:val="22"/>
          <w:szCs w:val="22"/>
          <w:shd w:val="clear" w:color="auto" w:fill="FFFFFF"/>
        </w:rPr>
        <w:t xml:space="preserve"> unter anderem, wie sich der Tag des Embryonentransfers auswirken kann: „Wir sehen Vorteile in der Kulturdauer an Tag fünf, gegenüber Tag vier oder Tag sechs“, sagt Dr. med. Sascha Tauchert, ebenfalls Vorstandsmitglied im Deutschen IVF-Register e.V. (D·I·R). Im aktuellen Jahrbuch wurden die Daten von </w:t>
      </w:r>
      <w:r w:rsidRPr="00C92A31">
        <w:rPr>
          <w:rFonts w:ascii="Arial" w:hAnsi="Arial" w:cs="Arial"/>
          <w:sz w:val="22"/>
          <w:szCs w:val="22"/>
        </w:rPr>
        <w:t xml:space="preserve">139 </w:t>
      </w:r>
      <w:r>
        <w:rPr>
          <w:rFonts w:ascii="Arial" w:hAnsi="Arial" w:cs="Arial"/>
          <w:sz w:val="22"/>
          <w:szCs w:val="22"/>
        </w:rPr>
        <w:t>der</w:t>
      </w:r>
      <w:r w:rsidRPr="00C92A31">
        <w:rPr>
          <w:rFonts w:ascii="Arial" w:hAnsi="Arial" w:cs="Arial"/>
          <w:sz w:val="22"/>
          <w:szCs w:val="22"/>
        </w:rPr>
        <w:t xml:space="preserve"> </w:t>
      </w:r>
      <w:r>
        <w:rPr>
          <w:rFonts w:ascii="Arial" w:hAnsi="Arial" w:cs="Arial"/>
          <w:sz w:val="22"/>
          <w:szCs w:val="22"/>
        </w:rPr>
        <w:t xml:space="preserve">aktuell </w:t>
      </w:r>
      <w:r w:rsidRPr="00C92A31">
        <w:rPr>
          <w:rFonts w:ascii="Arial" w:hAnsi="Arial" w:cs="Arial"/>
          <w:sz w:val="22"/>
          <w:szCs w:val="22"/>
        </w:rPr>
        <w:t>14</w:t>
      </w:r>
      <w:r>
        <w:rPr>
          <w:rFonts w:ascii="Arial" w:hAnsi="Arial" w:cs="Arial"/>
          <w:sz w:val="22"/>
          <w:szCs w:val="22"/>
        </w:rPr>
        <w:t>3</w:t>
      </w:r>
      <w:r w:rsidRPr="00C92A31">
        <w:rPr>
          <w:rFonts w:ascii="Arial" w:hAnsi="Arial" w:cs="Arial"/>
          <w:sz w:val="22"/>
          <w:szCs w:val="22"/>
        </w:rPr>
        <w:t xml:space="preserve"> Mitgliedszentren des Deutschen IVF-Registers </w:t>
      </w:r>
      <w:r>
        <w:rPr>
          <w:rFonts w:ascii="Arial" w:hAnsi="Arial" w:cs="Arial"/>
          <w:sz w:val="22"/>
          <w:szCs w:val="22"/>
        </w:rPr>
        <w:t xml:space="preserve">für die </w:t>
      </w:r>
      <w:r w:rsidRPr="00C92A31">
        <w:rPr>
          <w:rFonts w:ascii="Arial" w:hAnsi="Arial" w:cs="Arial"/>
          <w:sz w:val="22"/>
          <w:szCs w:val="22"/>
        </w:rPr>
        <w:t>Jahre 2023 und 2024 zum Stichtag</w:t>
      </w:r>
      <w:r>
        <w:rPr>
          <w:rFonts w:ascii="Arial" w:hAnsi="Arial" w:cs="Arial"/>
          <w:sz w:val="22"/>
          <w:szCs w:val="22"/>
        </w:rPr>
        <w:t xml:space="preserve"> exportiert und ausgewertet. </w:t>
      </w:r>
    </w:p>
    <w:p w14:paraId="68FF1896" w14:textId="77777777" w:rsidR="00B801B1" w:rsidRPr="00BC727D" w:rsidRDefault="00B801B1" w:rsidP="00B801B1">
      <w:pPr>
        <w:spacing w:before="100" w:beforeAutospacing="1" w:after="100" w:afterAutospacing="1"/>
        <w:rPr>
          <w:rFonts w:ascii="Arial" w:hAnsi="Arial" w:cs="Arial"/>
          <w:bCs/>
          <w:color w:val="000000" w:themeColor="text1"/>
          <w:sz w:val="22"/>
          <w:szCs w:val="22"/>
          <w:shd w:val="clear" w:color="auto" w:fill="FFFFFF"/>
        </w:rPr>
      </w:pPr>
      <w:r>
        <w:rPr>
          <w:rFonts w:ascii="Arial" w:hAnsi="Arial" w:cs="Arial"/>
          <w:bCs/>
          <w:color w:val="000000" w:themeColor="text1"/>
          <w:sz w:val="22"/>
          <w:szCs w:val="22"/>
          <w:shd w:val="clear" w:color="auto" w:fill="FFFFFF"/>
        </w:rPr>
        <w:t xml:space="preserve">Heute sitzen in jeder deutschen </w:t>
      </w:r>
      <w:r w:rsidRPr="00562B0E">
        <w:rPr>
          <w:rFonts w:ascii="Arial" w:hAnsi="Arial" w:cs="Arial"/>
          <w:bCs/>
          <w:color w:val="000000" w:themeColor="text1"/>
          <w:sz w:val="22"/>
          <w:szCs w:val="22"/>
          <w:shd w:val="clear" w:color="auto" w:fill="FFFFFF"/>
        </w:rPr>
        <w:t xml:space="preserve">Schulklasse ein bis zwei Kinder, die mit Hilfe der Kinderwunschmedizin gezeugt wurden. </w:t>
      </w:r>
      <w:r w:rsidRPr="00562B0E">
        <w:rPr>
          <w:rFonts w:ascii="Arial" w:hAnsi="Arial" w:cs="Arial"/>
          <w:bCs/>
          <w:sz w:val="22"/>
          <w:szCs w:val="22"/>
        </w:rPr>
        <w:t xml:space="preserve">Die Geburtenrate pro Transfer war 2023 mit 22,5 </w:t>
      </w:r>
      <w:r>
        <w:rPr>
          <w:rFonts w:ascii="Arial" w:hAnsi="Arial" w:cs="Arial"/>
          <w:bCs/>
          <w:sz w:val="22"/>
          <w:szCs w:val="22"/>
        </w:rPr>
        <w:t xml:space="preserve">Prozent </w:t>
      </w:r>
      <w:r w:rsidRPr="00562B0E">
        <w:rPr>
          <w:rFonts w:ascii="Arial" w:hAnsi="Arial" w:cs="Arial"/>
          <w:bCs/>
          <w:sz w:val="22"/>
          <w:szCs w:val="22"/>
        </w:rPr>
        <w:t xml:space="preserve">identisch zum Jahr 2022 und das bei </w:t>
      </w:r>
      <w:r>
        <w:rPr>
          <w:rFonts w:ascii="Arial" w:hAnsi="Arial" w:cs="Arial"/>
          <w:bCs/>
          <w:sz w:val="22"/>
          <w:szCs w:val="22"/>
        </w:rPr>
        <w:t>der deutlich</w:t>
      </w:r>
      <w:r>
        <w:rPr>
          <w:rFonts w:ascii="Arial" w:hAnsi="Arial" w:cs="Arial"/>
          <w:bCs/>
          <w:color w:val="000000" w:themeColor="text1"/>
          <w:sz w:val="22"/>
          <w:szCs w:val="22"/>
          <w:shd w:val="clear" w:color="auto" w:fill="FFFFFF"/>
        </w:rPr>
        <w:t xml:space="preserve"> </w:t>
      </w:r>
      <w:r w:rsidRPr="00562B0E">
        <w:rPr>
          <w:rFonts w:ascii="Arial" w:hAnsi="Arial" w:cs="Arial"/>
          <w:bCs/>
          <w:sz w:val="22"/>
          <w:szCs w:val="22"/>
        </w:rPr>
        <w:t>gesunkene</w:t>
      </w:r>
      <w:r>
        <w:rPr>
          <w:rFonts w:ascii="Arial" w:hAnsi="Arial" w:cs="Arial"/>
          <w:bCs/>
          <w:sz w:val="22"/>
          <w:szCs w:val="22"/>
        </w:rPr>
        <w:t>n</w:t>
      </w:r>
      <w:r w:rsidRPr="00562B0E">
        <w:rPr>
          <w:rFonts w:ascii="Arial" w:hAnsi="Arial" w:cs="Arial"/>
          <w:bCs/>
          <w:sz w:val="22"/>
          <w:szCs w:val="22"/>
        </w:rPr>
        <w:t xml:space="preserve"> Mehrlingsrate</w:t>
      </w:r>
      <w:r>
        <w:rPr>
          <w:rFonts w:ascii="Arial" w:hAnsi="Arial" w:cs="Arial"/>
          <w:bCs/>
          <w:sz w:val="22"/>
          <w:szCs w:val="22"/>
        </w:rPr>
        <w:t xml:space="preserve"> mit all </w:t>
      </w:r>
      <w:r>
        <w:rPr>
          <w:rFonts w:ascii="Arial" w:hAnsi="Arial" w:cs="Arial"/>
          <w:bCs/>
          <w:sz w:val="22"/>
          <w:szCs w:val="22"/>
        </w:rPr>
        <w:lastRenderedPageBreak/>
        <w:t>ihren Risiken für Mütter und Kinder</w:t>
      </w:r>
      <w:r w:rsidRPr="00562B0E">
        <w:rPr>
          <w:rFonts w:ascii="Arial" w:hAnsi="Arial" w:cs="Arial"/>
          <w:bCs/>
          <w:sz w:val="22"/>
          <w:szCs w:val="22"/>
        </w:rPr>
        <w:t xml:space="preserve">. </w:t>
      </w:r>
      <w:r>
        <w:rPr>
          <w:rFonts w:ascii="Arial" w:hAnsi="Arial" w:cs="Arial"/>
          <w:bCs/>
          <w:sz w:val="22"/>
          <w:szCs w:val="22"/>
        </w:rPr>
        <w:t xml:space="preserve">Ein </w:t>
      </w:r>
      <w:r w:rsidRPr="00562B0E">
        <w:rPr>
          <w:rFonts w:ascii="Arial" w:hAnsi="Arial" w:cs="Arial"/>
          <w:bCs/>
          <w:sz w:val="22"/>
          <w:szCs w:val="22"/>
        </w:rPr>
        <w:t>Erfolg</w:t>
      </w:r>
      <w:r>
        <w:rPr>
          <w:rFonts w:ascii="Arial" w:hAnsi="Arial" w:cs="Arial"/>
          <w:bCs/>
          <w:sz w:val="22"/>
          <w:szCs w:val="22"/>
        </w:rPr>
        <w:t xml:space="preserve">, den die Kinderwunschmedizinerinnen und -mediziner auf die </w:t>
      </w:r>
      <w:r w:rsidRPr="00562B0E">
        <w:rPr>
          <w:rFonts w:ascii="Arial" w:hAnsi="Arial" w:cs="Arial"/>
          <w:bCs/>
          <w:sz w:val="22"/>
          <w:szCs w:val="22"/>
        </w:rPr>
        <w:t xml:space="preserve">Single Embryo Transfer Strategie </w:t>
      </w:r>
      <w:r>
        <w:rPr>
          <w:rFonts w:ascii="Arial" w:hAnsi="Arial" w:cs="Arial"/>
          <w:bCs/>
          <w:sz w:val="22"/>
          <w:szCs w:val="22"/>
        </w:rPr>
        <w:t>zurückführen</w:t>
      </w:r>
      <w:r w:rsidRPr="00562B0E">
        <w:rPr>
          <w:rFonts w:ascii="Arial" w:hAnsi="Arial" w:cs="Arial"/>
          <w:bCs/>
          <w:sz w:val="22"/>
          <w:szCs w:val="22"/>
        </w:rPr>
        <w:t xml:space="preserve">. Während </w:t>
      </w:r>
      <w:r>
        <w:rPr>
          <w:rFonts w:ascii="Arial" w:hAnsi="Arial" w:cs="Arial"/>
          <w:bCs/>
          <w:sz w:val="22"/>
          <w:szCs w:val="22"/>
        </w:rPr>
        <w:t>2017</w:t>
      </w:r>
      <w:r w:rsidRPr="00562B0E">
        <w:rPr>
          <w:rFonts w:ascii="Arial" w:hAnsi="Arial" w:cs="Arial"/>
          <w:bCs/>
          <w:sz w:val="22"/>
          <w:szCs w:val="22"/>
        </w:rPr>
        <w:t xml:space="preserve"> </w:t>
      </w:r>
      <w:r>
        <w:rPr>
          <w:rFonts w:ascii="Arial" w:hAnsi="Arial" w:cs="Arial"/>
          <w:bCs/>
          <w:sz w:val="22"/>
          <w:szCs w:val="22"/>
        </w:rPr>
        <w:t xml:space="preserve">bei den Frischzyklen </w:t>
      </w:r>
      <w:r w:rsidRPr="00562B0E">
        <w:rPr>
          <w:rFonts w:ascii="Arial" w:hAnsi="Arial" w:cs="Arial"/>
          <w:bCs/>
          <w:sz w:val="22"/>
          <w:szCs w:val="22"/>
        </w:rPr>
        <w:t xml:space="preserve">noch </w:t>
      </w:r>
      <w:r>
        <w:rPr>
          <w:rFonts w:ascii="Arial" w:hAnsi="Arial" w:cs="Arial"/>
          <w:bCs/>
          <w:sz w:val="22"/>
          <w:szCs w:val="22"/>
        </w:rPr>
        <w:t>2.818</w:t>
      </w:r>
      <w:r w:rsidRPr="00562B0E">
        <w:rPr>
          <w:rFonts w:ascii="Arial" w:hAnsi="Arial" w:cs="Arial"/>
          <w:bCs/>
          <w:sz w:val="22"/>
          <w:szCs w:val="22"/>
        </w:rPr>
        <w:t xml:space="preserve"> </w:t>
      </w:r>
      <w:r>
        <w:rPr>
          <w:rFonts w:ascii="Arial" w:hAnsi="Arial" w:cs="Arial"/>
          <w:bCs/>
          <w:sz w:val="22"/>
          <w:szCs w:val="22"/>
        </w:rPr>
        <w:t>Mehrlings</w:t>
      </w:r>
      <w:r w:rsidRPr="00562B0E">
        <w:rPr>
          <w:rFonts w:ascii="Arial" w:hAnsi="Arial" w:cs="Arial"/>
          <w:bCs/>
          <w:sz w:val="22"/>
          <w:szCs w:val="22"/>
        </w:rPr>
        <w:t>geburten entstanden (</w:t>
      </w:r>
      <w:r>
        <w:rPr>
          <w:rFonts w:ascii="Arial" w:hAnsi="Arial" w:cs="Arial"/>
          <w:bCs/>
          <w:sz w:val="22"/>
          <w:szCs w:val="22"/>
        </w:rPr>
        <w:t>22,0</w:t>
      </w:r>
      <w:r w:rsidRPr="00562B0E">
        <w:rPr>
          <w:rFonts w:ascii="Arial" w:hAnsi="Arial" w:cs="Arial"/>
          <w:bCs/>
          <w:sz w:val="22"/>
          <w:szCs w:val="22"/>
        </w:rPr>
        <w:t xml:space="preserve"> </w:t>
      </w:r>
      <w:r>
        <w:rPr>
          <w:rFonts w:ascii="Arial" w:hAnsi="Arial" w:cs="Arial"/>
          <w:bCs/>
          <w:sz w:val="22"/>
          <w:szCs w:val="22"/>
        </w:rPr>
        <w:t>Prozent</w:t>
      </w:r>
      <w:r w:rsidRPr="00E46EBC">
        <w:t xml:space="preserve"> </w:t>
      </w:r>
      <w:r w:rsidRPr="00E46EBC">
        <w:rPr>
          <w:rFonts w:ascii="Arial" w:hAnsi="Arial" w:cs="Arial"/>
          <w:bCs/>
          <w:sz w:val="22"/>
          <w:szCs w:val="22"/>
        </w:rPr>
        <w:t>aller Geburten</w:t>
      </w:r>
      <w:r>
        <w:rPr>
          <w:rFonts w:ascii="Arial" w:hAnsi="Arial" w:cs="Arial"/>
          <w:bCs/>
          <w:sz w:val="22"/>
          <w:szCs w:val="22"/>
        </w:rPr>
        <w:t>)</w:t>
      </w:r>
      <w:r w:rsidRPr="00562B0E">
        <w:rPr>
          <w:rFonts w:ascii="Arial" w:hAnsi="Arial" w:cs="Arial"/>
          <w:bCs/>
          <w:sz w:val="22"/>
          <w:szCs w:val="22"/>
        </w:rPr>
        <w:t xml:space="preserve">, ist diese Zahl 2023 auf </w:t>
      </w:r>
      <w:r>
        <w:rPr>
          <w:rFonts w:ascii="Arial" w:hAnsi="Arial" w:cs="Arial"/>
          <w:bCs/>
          <w:sz w:val="22"/>
          <w:szCs w:val="22"/>
        </w:rPr>
        <w:t>1.039</w:t>
      </w:r>
      <w:r w:rsidRPr="00562B0E">
        <w:rPr>
          <w:rFonts w:ascii="Arial" w:hAnsi="Arial" w:cs="Arial"/>
          <w:bCs/>
          <w:sz w:val="22"/>
          <w:szCs w:val="22"/>
        </w:rPr>
        <w:t xml:space="preserve"> </w:t>
      </w:r>
      <w:r>
        <w:rPr>
          <w:rFonts w:ascii="Arial" w:hAnsi="Arial" w:cs="Arial"/>
          <w:bCs/>
          <w:sz w:val="22"/>
          <w:szCs w:val="22"/>
        </w:rPr>
        <w:t>Mehrlings</w:t>
      </w:r>
      <w:r w:rsidRPr="00562B0E">
        <w:rPr>
          <w:rFonts w:ascii="Arial" w:hAnsi="Arial" w:cs="Arial"/>
          <w:bCs/>
          <w:sz w:val="22"/>
          <w:szCs w:val="22"/>
        </w:rPr>
        <w:t>geburten gesunken (9,</w:t>
      </w:r>
      <w:r>
        <w:rPr>
          <w:rFonts w:ascii="Arial" w:hAnsi="Arial" w:cs="Arial"/>
          <w:bCs/>
          <w:sz w:val="22"/>
          <w:szCs w:val="22"/>
        </w:rPr>
        <w:t>3</w:t>
      </w:r>
      <w:r w:rsidRPr="00562B0E">
        <w:rPr>
          <w:rFonts w:ascii="Arial" w:hAnsi="Arial" w:cs="Arial"/>
          <w:bCs/>
          <w:sz w:val="22"/>
          <w:szCs w:val="22"/>
        </w:rPr>
        <w:t xml:space="preserve"> </w:t>
      </w:r>
      <w:r>
        <w:rPr>
          <w:rFonts w:ascii="Arial" w:hAnsi="Arial" w:cs="Arial"/>
          <w:bCs/>
          <w:sz w:val="22"/>
          <w:szCs w:val="22"/>
        </w:rPr>
        <w:t xml:space="preserve">Prozent </w:t>
      </w:r>
      <w:r w:rsidRPr="00562B0E">
        <w:rPr>
          <w:rFonts w:ascii="Arial" w:hAnsi="Arial" w:cs="Arial"/>
          <w:bCs/>
          <w:sz w:val="22"/>
          <w:szCs w:val="22"/>
        </w:rPr>
        <w:t>aller Geburten)</w:t>
      </w:r>
      <w:r>
        <w:rPr>
          <w:rFonts w:ascii="Arial" w:hAnsi="Arial" w:cs="Arial"/>
          <w:bCs/>
          <w:sz w:val="22"/>
          <w:szCs w:val="22"/>
        </w:rPr>
        <w:t xml:space="preserve">. </w:t>
      </w:r>
      <w:r w:rsidRPr="00562B0E">
        <w:rPr>
          <w:rFonts w:ascii="Arial" w:hAnsi="Arial" w:cs="Arial"/>
          <w:bCs/>
          <w:sz w:val="22"/>
          <w:szCs w:val="22"/>
        </w:rPr>
        <w:t>„</w:t>
      </w:r>
      <w:r>
        <w:rPr>
          <w:rFonts w:ascii="Arial" w:hAnsi="Arial" w:cs="Arial"/>
          <w:bCs/>
          <w:sz w:val="22"/>
          <w:szCs w:val="22"/>
        </w:rPr>
        <w:t>Dass</w:t>
      </w:r>
      <w:r w:rsidRPr="00562B0E">
        <w:rPr>
          <w:rFonts w:ascii="Arial" w:hAnsi="Arial" w:cs="Arial"/>
          <w:bCs/>
          <w:sz w:val="22"/>
          <w:szCs w:val="22"/>
        </w:rPr>
        <w:t xml:space="preserve"> </w:t>
      </w:r>
      <w:r>
        <w:rPr>
          <w:rFonts w:ascii="Arial" w:hAnsi="Arial" w:cs="Arial"/>
          <w:bCs/>
          <w:sz w:val="22"/>
          <w:szCs w:val="22"/>
        </w:rPr>
        <w:t xml:space="preserve">über </w:t>
      </w:r>
      <w:r w:rsidRPr="00562B0E">
        <w:rPr>
          <w:rFonts w:ascii="Arial" w:hAnsi="Arial" w:cs="Arial"/>
          <w:bCs/>
          <w:sz w:val="22"/>
          <w:szCs w:val="22"/>
        </w:rPr>
        <w:t>90</w:t>
      </w:r>
      <w:r>
        <w:rPr>
          <w:rFonts w:ascii="Arial" w:hAnsi="Arial" w:cs="Arial"/>
          <w:bCs/>
          <w:sz w:val="22"/>
          <w:szCs w:val="22"/>
        </w:rPr>
        <w:t xml:space="preserve"> </w:t>
      </w:r>
      <w:r w:rsidRPr="00562B0E">
        <w:rPr>
          <w:rFonts w:ascii="Arial" w:hAnsi="Arial" w:cs="Arial"/>
          <w:bCs/>
          <w:sz w:val="22"/>
          <w:szCs w:val="22"/>
        </w:rPr>
        <w:t>Pr</w:t>
      </w:r>
      <w:r>
        <w:rPr>
          <w:rFonts w:ascii="Arial" w:hAnsi="Arial" w:cs="Arial"/>
          <w:bCs/>
          <w:sz w:val="22"/>
          <w:szCs w:val="22"/>
        </w:rPr>
        <w:t>o</w:t>
      </w:r>
      <w:r w:rsidRPr="00562B0E">
        <w:rPr>
          <w:rFonts w:ascii="Arial" w:hAnsi="Arial" w:cs="Arial"/>
          <w:bCs/>
          <w:sz w:val="22"/>
          <w:szCs w:val="22"/>
        </w:rPr>
        <w:t>zent der Geburten Einlings</w:t>
      </w:r>
      <w:r>
        <w:rPr>
          <w:rFonts w:ascii="Arial" w:hAnsi="Arial" w:cs="Arial"/>
          <w:bCs/>
          <w:sz w:val="22"/>
          <w:szCs w:val="22"/>
        </w:rPr>
        <w:t>-G</w:t>
      </w:r>
      <w:r w:rsidRPr="00562B0E">
        <w:rPr>
          <w:rFonts w:ascii="Arial" w:hAnsi="Arial" w:cs="Arial"/>
          <w:bCs/>
          <w:sz w:val="22"/>
          <w:szCs w:val="22"/>
        </w:rPr>
        <w:t>eburten</w:t>
      </w:r>
      <w:r>
        <w:rPr>
          <w:rFonts w:ascii="Arial" w:hAnsi="Arial" w:cs="Arial"/>
          <w:bCs/>
          <w:sz w:val="22"/>
          <w:szCs w:val="22"/>
        </w:rPr>
        <w:t xml:space="preserve"> sind, bedeutet</w:t>
      </w:r>
      <w:r w:rsidRPr="00562B0E">
        <w:rPr>
          <w:rFonts w:ascii="Arial" w:hAnsi="Arial" w:cs="Arial"/>
          <w:bCs/>
          <w:sz w:val="22"/>
          <w:szCs w:val="22"/>
        </w:rPr>
        <w:t xml:space="preserve"> für Mutter und Kind ein deutlich geringeres Risiko und ist eine</w:t>
      </w:r>
      <w:r>
        <w:rPr>
          <w:rFonts w:ascii="Arial" w:hAnsi="Arial" w:cs="Arial"/>
          <w:bCs/>
          <w:sz w:val="22"/>
          <w:szCs w:val="22"/>
        </w:rPr>
        <w:t xml:space="preserve"> mehr </w:t>
      </w:r>
      <w:r w:rsidRPr="00562B0E">
        <w:rPr>
          <w:rFonts w:ascii="Arial" w:hAnsi="Arial" w:cs="Arial"/>
          <w:bCs/>
          <w:sz w:val="22"/>
          <w:szCs w:val="22"/>
        </w:rPr>
        <w:t xml:space="preserve">als erfreuliche Entwicklung“, </w:t>
      </w:r>
      <w:r w:rsidRPr="000055EF">
        <w:rPr>
          <w:rFonts w:ascii="Arial" w:hAnsi="Arial" w:cs="Arial"/>
          <w:bCs/>
          <w:sz w:val="22"/>
          <w:szCs w:val="22"/>
        </w:rPr>
        <w:t xml:space="preserve">sagt </w:t>
      </w:r>
      <w:r>
        <w:rPr>
          <w:rFonts w:ascii="Arial" w:hAnsi="Arial" w:cs="Arial"/>
          <w:bCs/>
          <w:sz w:val="22"/>
          <w:szCs w:val="22"/>
        </w:rPr>
        <w:t>Prof. Dr. med. Krüssel</w:t>
      </w:r>
      <w:r w:rsidRPr="000055EF">
        <w:rPr>
          <w:rFonts w:ascii="Arial" w:hAnsi="Arial" w:cs="Arial"/>
          <w:bCs/>
          <w:sz w:val="22"/>
          <w:szCs w:val="22"/>
        </w:rPr>
        <w:t xml:space="preserve">. Im europäischen Vergleich liegt Deutschland </w:t>
      </w:r>
      <w:r>
        <w:rPr>
          <w:rFonts w:ascii="Arial" w:hAnsi="Arial" w:cs="Arial"/>
          <w:bCs/>
          <w:sz w:val="22"/>
          <w:szCs w:val="22"/>
        </w:rPr>
        <w:t xml:space="preserve">damit </w:t>
      </w:r>
      <w:r w:rsidRPr="000055EF">
        <w:rPr>
          <w:rFonts w:ascii="Arial" w:hAnsi="Arial" w:cs="Arial"/>
          <w:bCs/>
          <w:sz w:val="22"/>
          <w:szCs w:val="22"/>
        </w:rPr>
        <w:t xml:space="preserve">noch im oberen Bereich. </w:t>
      </w:r>
      <w:r w:rsidRPr="000055EF">
        <w:rPr>
          <w:rFonts w:ascii="Arial" w:hAnsi="Arial" w:cs="Arial"/>
          <w:sz w:val="22"/>
          <w:szCs w:val="22"/>
        </w:rPr>
        <w:t xml:space="preserve">Länder wie Skandinavien oder die Niederlande haben Mehrlingsgeburten im </w:t>
      </w:r>
      <w:r>
        <w:rPr>
          <w:rFonts w:ascii="Arial" w:hAnsi="Arial" w:cs="Arial"/>
          <w:sz w:val="22"/>
          <w:szCs w:val="22"/>
        </w:rPr>
        <w:t xml:space="preserve">natürlichen </w:t>
      </w:r>
      <w:r w:rsidRPr="000055EF">
        <w:rPr>
          <w:rFonts w:ascii="Arial" w:hAnsi="Arial" w:cs="Arial"/>
          <w:sz w:val="22"/>
          <w:szCs w:val="22"/>
        </w:rPr>
        <w:t>Bereich</w:t>
      </w:r>
      <w:r>
        <w:rPr>
          <w:rFonts w:ascii="Arial" w:hAnsi="Arial" w:cs="Arial"/>
          <w:sz w:val="22"/>
          <w:szCs w:val="22"/>
        </w:rPr>
        <w:t xml:space="preserve"> </w:t>
      </w:r>
      <w:r w:rsidRPr="000055EF">
        <w:rPr>
          <w:rFonts w:ascii="Arial" w:hAnsi="Arial" w:cs="Arial"/>
          <w:sz w:val="22"/>
          <w:szCs w:val="22"/>
        </w:rPr>
        <w:t>von unter fünf</w:t>
      </w:r>
      <w:r>
        <w:rPr>
          <w:rFonts w:ascii="Arial" w:hAnsi="Arial" w:cs="Arial"/>
          <w:sz w:val="22"/>
          <w:szCs w:val="22"/>
        </w:rPr>
        <w:t xml:space="preserve"> </w:t>
      </w:r>
      <w:r w:rsidRPr="000055EF">
        <w:rPr>
          <w:rFonts w:ascii="Arial" w:hAnsi="Arial" w:cs="Arial"/>
          <w:sz w:val="22"/>
          <w:szCs w:val="22"/>
        </w:rPr>
        <w:t>Prozent, heißt es von Seiten der Experte</w:t>
      </w:r>
      <w:r>
        <w:rPr>
          <w:rFonts w:ascii="Arial" w:hAnsi="Arial" w:cs="Arial"/>
          <w:sz w:val="22"/>
          <w:szCs w:val="22"/>
        </w:rPr>
        <w:t>n.</w:t>
      </w:r>
    </w:p>
    <w:p w14:paraId="1D5F16AC" w14:textId="77777777" w:rsidR="00B801B1" w:rsidRDefault="00B801B1" w:rsidP="00B801B1">
      <w:pPr>
        <w:spacing w:before="100" w:beforeAutospacing="1" w:after="100" w:afterAutospacing="1"/>
        <w:rPr>
          <w:rFonts w:ascii="Arial" w:hAnsi="Arial" w:cs="Arial"/>
          <w:sz w:val="22"/>
          <w:szCs w:val="22"/>
        </w:rPr>
      </w:pPr>
      <w:r>
        <w:rPr>
          <w:rFonts w:ascii="Arial" w:hAnsi="Arial" w:cs="Arial"/>
          <w:bCs/>
          <w:color w:val="000000" w:themeColor="text1"/>
          <w:sz w:val="22"/>
          <w:szCs w:val="22"/>
          <w:shd w:val="clear" w:color="auto" w:fill="FFFFFF"/>
        </w:rPr>
        <w:t xml:space="preserve">Marginal sind die Unterschiede auch bei der Art des Embryotransfers. </w:t>
      </w:r>
      <w:r>
        <w:rPr>
          <w:rFonts w:ascii="Arial" w:hAnsi="Arial" w:cs="Arial"/>
          <w:sz w:val="22"/>
          <w:szCs w:val="22"/>
        </w:rPr>
        <w:t>D</w:t>
      </w:r>
      <w:r w:rsidRPr="00454858">
        <w:rPr>
          <w:rFonts w:ascii="Arial" w:hAnsi="Arial" w:cs="Arial"/>
          <w:sz w:val="22"/>
          <w:szCs w:val="22"/>
        </w:rPr>
        <w:t xml:space="preserve">ie Geburtenraten betrugen 2023 im Frischzyklus 22,5 </w:t>
      </w:r>
      <w:r>
        <w:rPr>
          <w:rFonts w:ascii="Arial" w:hAnsi="Arial" w:cs="Arial"/>
          <w:sz w:val="22"/>
          <w:szCs w:val="22"/>
        </w:rPr>
        <w:t xml:space="preserve">Prozent und </w:t>
      </w:r>
      <w:r w:rsidRPr="00454858">
        <w:rPr>
          <w:rFonts w:ascii="Arial" w:hAnsi="Arial" w:cs="Arial"/>
          <w:sz w:val="22"/>
          <w:szCs w:val="22"/>
        </w:rPr>
        <w:t xml:space="preserve">im Kryozyklus </w:t>
      </w:r>
      <w:r>
        <w:rPr>
          <w:rFonts w:ascii="Arial" w:hAnsi="Arial" w:cs="Arial"/>
          <w:sz w:val="22"/>
          <w:szCs w:val="22"/>
        </w:rPr>
        <w:t xml:space="preserve">(Auftauzyklus) </w:t>
      </w:r>
      <w:r w:rsidRPr="00454858">
        <w:rPr>
          <w:rFonts w:ascii="Arial" w:hAnsi="Arial" w:cs="Arial"/>
          <w:sz w:val="22"/>
          <w:szCs w:val="22"/>
        </w:rPr>
        <w:t xml:space="preserve">21,9 </w:t>
      </w:r>
      <w:r>
        <w:rPr>
          <w:rFonts w:ascii="Arial" w:hAnsi="Arial" w:cs="Arial"/>
          <w:sz w:val="22"/>
          <w:szCs w:val="22"/>
        </w:rPr>
        <w:t xml:space="preserve">Prozent. Eine weitaus größere Rolle spielt das Alter der Mutter. Der Erfolg von </w:t>
      </w:r>
      <w:r w:rsidRPr="00454858">
        <w:rPr>
          <w:rFonts w:ascii="Arial" w:hAnsi="Arial" w:cs="Arial"/>
          <w:sz w:val="22"/>
          <w:szCs w:val="22"/>
        </w:rPr>
        <w:t>Schwangerschafts- und Geburtenraten</w:t>
      </w:r>
      <w:r>
        <w:rPr>
          <w:rFonts w:ascii="Arial" w:hAnsi="Arial" w:cs="Arial"/>
          <w:sz w:val="22"/>
          <w:szCs w:val="22"/>
        </w:rPr>
        <w:t xml:space="preserve"> sind damit unmittelbar verbunden.</w:t>
      </w:r>
    </w:p>
    <w:p w14:paraId="63F598B4" w14:textId="77777777" w:rsidR="00B801B1" w:rsidRPr="00BC727D" w:rsidRDefault="00B801B1" w:rsidP="00B801B1">
      <w:pPr>
        <w:autoSpaceDE w:val="0"/>
        <w:autoSpaceDN w:val="0"/>
        <w:adjustRightInd w:val="0"/>
        <w:rPr>
          <w:rFonts w:ascii="Arial" w:hAnsi="Arial" w:cs="Arial"/>
          <w:b/>
          <w:bCs/>
          <w:sz w:val="22"/>
          <w:szCs w:val="22"/>
        </w:rPr>
      </w:pPr>
      <w:r w:rsidRPr="00BC727D">
        <w:rPr>
          <w:rFonts w:ascii="Arial" w:hAnsi="Arial" w:cs="Arial"/>
          <w:b/>
          <w:bCs/>
          <w:sz w:val="22"/>
          <w:szCs w:val="22"/>
        </w:rPr>
        <w:t>Kinderwunschbehandlung nicht auf später verschiebe</w:t>
      </w:r>
      <w:r>
        <w:rPr>
          <w:rFonts w:ascii="Arial" w:hAnsi="Arial" w:cs="Arial"/>
          <w:b/>
          <w:bCs/>
          <w:sz w:val="22"/>
          <w:szCs w:val="22"/>
        </w:rPr>
        <w:t>n</w:t>
      </w:r>
    </w:p>
    <w:p w14:paraId="5FF01186" w14:textId="77777777" w:rsidR="00B801B1" w:rsidRDefault="00B801B1" w:rsidP="00B801B1">
      <w:pPr>
        <w:autoSpaceDE w:val="0"/>
        <w:autoSpaceDN w:val="0"/>
        <w:adjustRightInd w:val="0"/>
        <w:rPr>
          <w:rFonts w:ascii="Arial" w:hAnsi="Arial" w:cs="Arial"/>
          <w:sz w:val="22"/>
          <w:szCs w:val="22"/>
        </w:rPr>
      </w:pPr>
    </w:p>
    <w:p w14:paraId="17DD1D3F" w14:textId="77777777" w:rsidR="00B801B1" w:rsidRDefault="00B801B1" w:rsidP="00B801B1">
      <w:pPr>
        <w:autoSpaceDE w:val="0"/>
        <w:autoSpaceDN w:val="0"/>
        <w:adjustRightInd w:val="0"/>
        <w:rPr>
          <w:rFonts w:ascii="Arial" w:hAnsi="Arial" w:cs="Arial"/>
          <w:sz w:val="22"/>
          <w:szCs w:val="22"/>
        </w:rPr>
      </w:pPr>
      <w:r>
        <w:rPr>
          <w:rFonts w:ascii="Arial" w:hAnsi="Arial" w:cs="Arial"/>
          <w:sz w:val="22"/>
          <w:szCs w:val="22"/>
        </w:rPr>
        <w:t xml:space="preserve">In der </w:t>
      </w:r>
      <w:r w:rsidRPr="00454858">
        <w:rPr>
          <w:rFonts w:ascii="Arial" w:hAnsi="Arial" w:cs="Arial"/>
          <w:sz w:val="22"/>
          <w:szCs w:val="22"/>
        </w:rPr>
        <w:t>Altersgruppe von</w:t>
      </w:r>
      <w:r>
        <w:rPr>
          <w:rFonts w:ascii="Arial" w:hAnsi="Arial" w:cs="Arial"/>
          <w:sz w:val="22"/>
          <w:szCs w:val="22"/>
        </w:rPr>
        <w:t xml:space="preserve"> </w:t>
      </w:r>
      <w:r w:rsidRPr="00454858">
        <w:rPr>
          <w:rFonts w:ascii="Arial" w:hAnsi="Arial" w:cs="Arial"/>
          <w:sz w:val="22"/>
          <w:szCs w:val="22"/>
        </w:rPr>
        <w:t>30</w:t>
      </w:r>
      <w:r>
        <w:rPr>
          <w:rFonts w:ascii="Arial" w:hAnsi="Arial" w:cs="Arial"/>
          <w:sz w:val="22"/>
          <w:szCs w:val="22"/>
        </w:rPr>
        <w:t xml:space="preserve"> bis </w:t>
      </w:r>
      <w:r w:rsidRPr="00454858">
        <w:rPr>
          <w:rFonts w:ascii="Arial" w:hAnsi="Arial" w:cs="Arial"/>
          <w:sz w:val="22"/>
          <w:szCs w:val="22"/>
        </w:rPr>
        <w:t xml:space="preserve">34 Jahren </w:t>
      </w:r>
      <w:r>
        <w:rPr>
          <w:rFonts w:ascii="Arial" w:hAnsi="Arial" w:cs="Arial"/>
          <w:sz w:val="22"/>
          <w:szCs w:val="22"/>
        </w:rPr>
        <w:t xml:space="preserve">liegt die Chance auf Schwangerschaft </w:t>
      </w:r>
      <w:r w:rsidRPr="00454858">
        <w:rPr>
          <w:rFonts w:ascii="Arial" w:hAnsi="Arial" w:cs="Arial"/>
          <w:sz w:val="22"/>
          <w:szCs w:val="22"/>
        </w:rPr>
        <w:t xml:space="preserve">pro Embryotransfer </w:t>
      </w:r>
      <w:r>
        <w:rPr>
          <w:rFonts w:ascii="Arial" w:hAnsi="Arial" w:cs="Arial"/>
          <w:sz w:val="22"/>
          <w:szCs w:val="22"/>
        </w:rPr>
        <w:t xml:space="preserve">bei </w:t>
      </w:r>
      <w:r w:rsidRPr="00454858">
        <w:rPr>
          <w:rFonts w:ascii="Arial" w:hAnsi="Arial" w:cs="Arial"/>
          <w:sz w:val="22"/>
          <w:szCs w:val="22"/>
        </w:rPr>
        <w:t>39</w:t>
      </w:r>
      <w:r>
        <w:rPr>
          <w:rFonts w:ascii="Arial" w:hAnsi="Arial" w:cs="Arial"/>
          <w:sz w:val="22"/>
          <w:szCs w:val="22"/>
        </w:rPr>
        <w:t xml:space="preserve"> Prozent. Die </w:t>
      </w:r>
      <w:r w:rsidRPr="00454858">
        <w:rPr>
          <w:rFonts w:ascii="Arial" w:hAnsi="Arial" w:cs="Arial"/>
          <w:sz w:val="22"/>
          <w:szCs w:val="22"/>
        </w:rPr>
        <w:t xml:space="preserve">Geburtenrate </w:t>
      </w:r>
      <w:r>
        <w:rPr>
          <w:rFonts w:ascii="Arial" w:hAnsi="Arial" w:cs="Arial"/>
          <w:sz w:val="22"/>
          <w:szCs w:val="22"/>
        </w:rPr>
        <w:t xml:space="preserve">bei </w:t>
      </w:r>
      <w:r w:rsidRPr="00454858">
        <w:rPr>
          <w:rFonts w:ascii="Arial" w:hAnsi="Arial" w:cs="Arial"/>
          <w:sz w:val="22"/>
          <w:szCs w:val="22"/>
        </w:rPr>
        <w:t>30,9</w:t>
      </w:r>
      <w:r>
        <w:rPr>
          <w:rFonts w:ascii="Arial" w:hAnsi="Arial" w:cs="Arial"/>
          <w:sz w:val="22"/>
          <w:szCs w:val="22"/>
        </w:rPr>
        <w:t xml:space="preserve"> Prozent. „Ganz anders sieht das bei den Kinderwunschpatientinnen der </w:t>
      </w:r>
      <w:r w:rsidRPr="00454858">
        <w:rPr>
          <w:rFonts w:ascii="Arial" w:hAnsi="Arial" w:cs="Arial"/>
          <w:sz w:val="22"/>
          <w:szCs w:val="22"/>
        </w:rPr>
        <w:t>Altersgruppe von 41</w:t>
      </w:r>
      <w:r>
        <w:rPr>
          <w:rFonts w:ascii="Arial" w:hAnsi="Arial" w:cs="Arial"/>
          <w:sz w:val="22"/>
          <w:szCs w:val="22"/>
        </w:rPr>
        <w:t xml:space="preserve"> bis </w:t>
      </w:r>
      <w:r w:rsidRPr="00454858">
        <w:rPr>
          <w:rFonts w:ascii="Arial" w:hAnsi="Arial" w:cs="Arial"/>
          <w:sz w:val="22"/>
          <w:szCs w:val="22"/>
        </w:rPr>
        <w:t>44 Jahre</w:t>
      </w:r>
      <w:r>
        <w:rPr>
          <w:rFonts w:ascii="Arial" w:hAnsi="Arial" w:cs="Arial"/>
          <w:sz w:val="22"/>
          <w:szCs w:val="22"/>
        </w:rPr>
        <w:t xml:space="preserve"> aus. Die </w:t>
      </w:r>
      <w:r w:rsidRPr="00454858">
        <w:rPr>
          <w:rFonts w:ascii="Arial" w:hAnsi="Arial" w:cs="Arial"/>
          <w:sz w:val="22"/>
          <w:szCs w:val="22"/>
        </w:rPr>
        <w:t xml:space="preserve">Schwangerschaftsraten pro Embryotransfer </w:t>
      </w:r>
      <w:r>
        <w:rPr>
          <w:rFonts w:ascii="Arial" w:hAnsi="Arial" w:cs="Arial"/>
          <w:sz w:val="22"/>
          <w:szCs w:val="22"/>
        </w:rPr>
        <w:t xml:space="preserve">sinken um mehr als 20 Prozentpunkte </w:t>
      </w:r>
      <w:r w:rsidRPr="00454858">
        <w:rPr>
          <w:rFonts w:ascii="Arial" w:hAnsi="Arial" w:cs="Arial"/>
          <w:sz w:val="22"/>
          <w:szCs w:val="22"/>
        </w:rPr>
        <w:t xml:space="preserve">auf 17,1 </w:t>
      </w:r>
      <w:r>
        <w:rPr>
          <w:rFonts w:ascii="Arial" w:hAnsi="Arial" w:cs="Arial"/>
          <w:sz w:val="22"/>
          <w:szCs w:val="22"/>
        </w:rPr>
        <w:t xml:space="preserve">Prozent </w:t>
      </w:r>
      <w:r w:rsidRPr="00454858">
        <w:rPr>
          <w:rFonts w:ascii="Arial" w:hAnsi="Arial" w:cs="Arial"/>
          <w:sz w:val="22"/>
          <w:szCs w:val="22"/>
        </w:rPr>
        <w:t>und die Geburtenrate</w:t>
      </w:r>
      <w:r>
        <w:rPr>
          <w:rFonts w:ascii="Arial" w:hAnsi="Arial" w:cs="Arial"/>
          <w:sz w:val="22"/>
          <w:szCs w:val="22"/>
        </w:rPr>
        <w:t xml:space="preserve"> liegt mit 9,3 Prozent gar unter zehn Prozent“, sagt Dr. Tandler-Schneider. </w:t>
      </w:r>
    </w:p>
    <w:p w14:paraId="18B7AC04" w14:textId="77777777" w:rsidR="00B801B1" w:rsidRDefault="00B801B1" w:rsidP="00B801B1">
      <w:pPr>
        <w:autoSpaceDE w:val="0"/>
        <w:autoSpaceDN w:val="0"/>
        <w:adjustRightInd w:val="0"/>
        <w:rPr>
          <w:rFonts w:ascii="Arial" w:hAnsi="Arial" w:cs="Arial"/>
          <w:color w:val="000000"/>
          <w:sz w:val="22"/>
          <w:szCs w:val="22"/>
        </w:rPr>
      </w:pPr>
      <w:r>
        <w:rPr>
          <w:rFonts w:ascii="Arial" w:hAnsi="Arial" w:cs="Arial"/>
          <w:sz w:val="22"/>
          <w:szCs w:val="22"/>
        </w:rPr>
        <w:t xml:space="preserve">So ist das Alter einer der wichtigsten Faktoren in der Kinderwunschbehandlung. „Warten Sie nicht zu lange“, formuliert er einen Appell an Eltern, die sich Nachwuchs wünschen. </w:t>
      </w:r>
    </w:p>
    <w:p w14:paraId="594EDCC9" w14:textId="77777777" w:rsidR="00B801B1" w:rsidRPr="00ED796F" w:rsidRDefault="00B801B1" w:rsidP="00B801B1">
      <w:pPr>
        <w:autoSpaceDE w:val="0"/>
        <w:autoSpaceDN w:val="0"/>
        <w:adjustRightInd w:val="0"/>
        <w:rPr>
          <w:rFonts w:ascii="Arial" w:hAnsi="Arial" w:cs="Arial"/>
          <w:color w:val="000000"/>
          <w:sz w:val="22"/>
          <w:szCs w:val="22"/>
        </w:rPr>
      </w:pPr>
    </w:p>
    <w:p w14:paraId="4178E1DD" w14:textId="77777777" w:rsidR="00B801B1" w:rsidRDefault="00B801B1" w:rsidP="00B801B1">
      <w:pPr>
        <w:autoSpaceDE w:val="0"/>
        <w:autoSpaceDN w:val="0"/>
        <w:adjustRightInd w:val="0"/>
        <w:rPr>
          <w:rFonts w:ascii="Arial" w:hAnsi="Arial" w:cs="Arial"/>
          <w:sz w:val="22"/>
          <w:szCs w:val="22"/>
        </w:rPr>
      </w:pPr>
      <w:r>
        <w:rPr>
          <w:rFonts w:ascii="Arial" w:hAnsi="Arial" w:cs="Arial"/>
          <w:sz w:val="22"/>
          <w:szCs w:val="22"/>
        </w:rPr>
        <w:t xml:space="preserve">Dank guter Behandlungserfolge ist die Wahl für Frischzyklus oder Auftauzyklus längst nicht mehr der entscheidende Faktor heutzutage. </w:t>
      </w:r>
      <w:r w:rsidRPr="00C92A31">
        <w:rPr>
          <w:rFonts w:ascii="Arial" w:hAnsi="Arial" w:cs="Arial"/>
          <w:sz w:val="22"/>
          <w:szCs w:val="22"/>
        </w:rPr>
        <w:t xml:space="preserve">Die Schwangerschaftsraten pro Embryotransfer im Frischzyklus betrugen im Jahr 2024 30,5 </w:t>
      </w:r>
      <w:r>
        <w:rPr>
          <w:rFonts w:ascii="Arial" w:hAnsi="Arial" w:cs="Arial"/>
          <w:sz w:val="22"/>
          <w:szCs w:val="22"/>
        </w:rPr>
        <w:t>Prozent,</w:t>
      </w:r>
      <w:r w:rsidRPr="00C92A31">
        <w:rPr>
          <w:rFonts w:ascii="Arial" w:hAnsi="Arial" w:cs="Arial"/>
          <w:sz w:val="22"/>
          <w:szCs w:val="22"/>
        </w:rPr>
        <w:t xml:space="preserve"> die Schwangerschaftsraten im</w:t>
      </w:r>
      <w:r>
        <w:rPr>
          <w:rFonts w:ascii="Arial" w:hAnsi="Arial" w:cs="Arial"/>
          <w:sz w:val="22"/>
          <w:szCs w:val="22"/>
        </w:rPr>
        <w:t xml:space="preserve"> Auftau</w:t>
      </w:r>
      <w:r w:rsidRPr="00C92A31">
        <w:rPr>
          <w:rFonts w:ascii="Arial" w:hAnsi="Arial" w:cs="Arial"/>
          <w:sz w:val="22"/>
          <w:szCs w:val="22"/>
        </w:rPr>
        <w:t xml:space="preserve">zyklus pro Embryotransfer betrugen im Jahr 2024 </w:t>
      </w:r>
      <w:r>
        <w:rPr>
          <w:rFonts w:ascii="Arial" w:hAnsi="Arial" w:cs="Arial"/>
          <w:sz w:val="22"/>
          <w:szCs w:val="22"/>
        </w:rPr>
        <w:t xml:space="preserve">sogar </w:t>
      </w:r>
      <w:r w:rsidRPr="00C92A31">
        <w:rPr>
          <w:rFonts w:ascii="Arial" w:hAnsi="Arial" w:cs="Arial"/>
          <w:sz w:val="22"/>
          <w:szCs w:val="22"/>
        </w:rPr>
        <w:t xml:space="preserve">31,5 </w:t>
      </w:r>
      <w:r>
        <w:rPr>
          <w:rFonts w:ascii="Arial" w:hAnsi="Arial" w:cs="Arial"/>
          <w:sz w:val="22"/>
          <w:szCs w:val="22"/>
        </w:rPr>
        <w:t xml:space="preserve">Prozent </w:t>
      </w:r>
      <w:r w:rsidRPr="00C92A31">
        <w:rPr>
          <w:rFonts w:ascii="Arial" w:hAnsi="Arial" w:cs="Arial"/>
          <w:sz w:val="22"/>
          <w:szCs w:val="22"/>
        </w:rPr>
        <w:t xml:space="preserve">und sind damit </w:t>
      </w:r>
      <w:r>
        <w:rPr>
          <w:rFonts w:ascii="Arial" w:hAnsi="Arial" w:cs="Arial"/>
          <w:sz w:val="22"/>
          <w:szCs w:val="22"/>
        </w:rPr>
        <w:t xml:space="preserve">erstmals sogar über den </w:t>
      </w:r>
      <w:r w:rsidRPr="00C92A31">
        <w:rPr>
          <w:rFonts w:ascii="Arial" w:hAnsi="Arial" w:cs="Arial"/>
          <w:sz w:val="22"/>
          <w:szCs w:val="22"/>
        </w:rPr>
        <w:t>Schwangerschaftsraten</w:t>
      </w:r>
      <w:r>
        <w:rPr>
          <w:rFonts w:ascii="Arial" w:hAnsi="Arial" w:cs="Arial"/>
          <w:sz w:val="22"/>
          <w:szCs w:val="22"/>
        </w:rPr>
        <w:t xml:space="preserve"> der Frischzyklen. Dieser Aspekt ist wichtig, wenn mehrere Anläufe zum Wunschkind nötig sind. „Bestand </w:t>
      </w:r>
      <w:r w:rsidRPr="00454858">
        <w:rPr>
          <w:rFonts w:ascii="Arial" w:hAnsi="Arial" w:cs="Arial"/>
          <w:sz w:val="22"/>
          <w:szCs w:val="22"/>
        </w:rPr>
        <w:t>nach nur einer Eizellgewinnung</w:t>
      </w:r>
      <w:r>
        <w:rPr>
          <w:rFonts w:ascii="Arial" w:hAnsi="Arial" w:cs="Arial"/>
          <w:sz w:val="22"/>
          <w:szCs w:val="22"/>
        </w:rPr>
        <w:t xml:space="preserve"> </w:t>
      </w:r>
      <w:r w:rsidRPr="00454858">
        <w:rPr>
          <w:rFonts w:ascii="Arial" w:hAnsi="Arial" w:cs="Arial"/>
          <w:sz w:val="22"/>
          <w:szCs w:val="22"/>
        </w:rPr>
        <w:t>die Chance auf</w:t>
      </w:r>
      <w:r>
        <w:rPr>
          <w:rFonts w:ascii="Arial" w:hAnsi="Arial" w:cs="Arial"/>
          <w:sz w:val="22"/>
          <w:szCs w:val="22"/>
        </w:rPr>
        <w:t xml:space="preserve"> </w:t>
      </w:r>
      <w:r w:rsidRPr="00454858">
        <w:rPr>
          <w:rFonts w:ascii="Arial" w:hAnsi="Arial" w:cs="Arial"/>
          <w:sz w:val="22"/>
          <w:szCs w:val="22"/>
        </w:rPr>
        <w:t>Kryokonservierung</w:t>
      </w:r>
      <w:r>
        <w:rPr>
          <w:rFonts w:ascii="Arial" w:hAnsi="Arial" w:cs="Arial"/>
          <w:sz w:val="22"/>
          <w:szCs w:val="22"/>
        </w:rPr>
        <w:t>, können sich b</w:t>
      </w:r>
      <w:r w:rsidRPr="00454858">
        <w:rPr>
          <w:rFonts w:ascii="Arial" w:hAnsi="Arial" w:cs="Arial"/>
          <w:sz w:val="22"/>
          <w:szCs w:val="22"/>
        </w:rPr>
        <w:t>ereits nach einem Frischtransfer und zwei Kryotransfers die Hälfte der</w:t>
      </w:r>
      <w:r>
        <w:rPr>
          <w:rFonts w:ascii="Arial" w:hAnsi="Arial" w:cs="Arial"/>
          <w:sz w:val="22"/>
          <w:szCs w:val="22"/>
        </w:rPr>
        <w:t xml:space="preserve"> </w:t>
      </w:r>
      <w:r w:rsidRPr="00454858">
        <w:rPr>
          <w:rFonts w:ascii="Arial" w:hAnsi="Arial" w:cs="Arial"/>
          <w:sz w:val="22"/>
          <w:szCs w:val="22"/>
        </w:rPr>
        <w:t xml:space="preserve">Paare über die Geburt eines Kindes freuen, obwohl nur ein frischer Behandlungszyklus </w:t>
      </w:r>
      <w:r>
        <w:rPr>
          <w:rFonts w:ascii="Arial" w:hAnsi="Arial" w:cs="Arial"/>
          <w:sz w:val="22"/>
          <w:szCs w:val="22"/>
        </w:rPr>
        <w:t xml:space="preserve">mit Stimulation und Punktion </w:t>
      </w:r>
      <w:r w:rsidRPr="00454858">
        <w:rPr>
          <w:rFonts w:ascii="Arial" w:hAnsi="Arial" w:cs="Arial"/>
          <w:sz w:val="22"/>
          <w:szCs w:val="22"/>
        </w:rPr>
        <w:t>durchgeführt</w:t>
      </w:r>
      <w:r>
        <w:rPr>
          <w:rFonts w:ascii="Arial" w:hAnsi="Arial" w:cs="Arial"/>
          <w:sz w:val="22"/>
          <w:szCs w:val="22"/>
        </w:rPr>
        <w:t xml:space="preserve"> </w:t>
      </w:r>
      <w:r w:rsidRPr="00454858">
        <w:rPr>
          <w:rFonts w:ascii="Arial" w:hAnsi="Arial" w:cs="Arial"/>
          <w:sz w:val="22"/>
          <w:szCs w:val="22"/>
        </w:rPr>
        <w:t>wurde</w:t>
      </w:r>
      <w:r>
        <w:rPr>
          <w:rFonts w:ascii="Arial" w:hAnsi="Arial" w:cs="Arial"/>
          <w:sz w:val="22"/>
          <w:szCs w:val="22"/>
        </w:rPr>
        <w:t xml:space="preserve">“, sagt Dr. Tandler-Schneider. Paaren kann das zusätzliche belastende Behandlungen, beispielsweise durch Hormontherapien, ersparen. </w:t>
      </w:r>
    </w:p>
    <w:p w14:paraId="557DA2C4" w14:textId="77777777" w:rsidR="00B801B1" w:rsidRDefault="00B801B1" w:rsidP="00B801B1">
      <w:pPr>
        <w:autoSpaceDE w:val="0"/>
        <w:autoSpaceDN w:val="0"/>
        <w:adjustRightInd w:val="0"/>
        <w:rPr>
          <w:rFonts w:ascii="Arial" w:hAnsi="Arial" w:cs="Arial"/>
          <w:sz w:val="22"/>
          <w:szCs w:val="22"/>
        </w:rPr>
      </w:pPr>
    </w:p>
    <w:p w14:paraId="4FDA1DFB" w14:textId="77777777" w:rsidR="00B801B1" w:rsidRPr="00B6308A" w:rsidRDefault="00B801B1" w:rsidP="00B801B1">
      <w:pPr>
        <w:autoSpaceDE w:val="0"/>
        <w:autoSpaceDN w:val="0"/>
        <w:adjustRightInd w:val="0"/>
        <w:rPr>
          <w:rFonts w:ascii="Arial" w:hAnsi="Arial" w:cs="Arial"/>
          <w:b/>
          <w:bCs/>
          <w:sz w:val="22"/>
          <w:szCs w:val="22"/>
        </w:rPr>
      </w:pPr>
      <w:r w:rsidRPr="00B6308A">
        <w:rPr>
          <w:rFonts w:ascii="Arial" w:hAnsi="Arial" w:cs="Arial"/>
          <w:b/>
          <w:bCs/>
          <w:sz w:val="22"/>
          <w:szCs w:val="22"/>
        </w:rPr>
        <w:t>Kinderlosigkeit durch eingeschränkte Spermaqualität</w:t>
      </w:r>
    </w:p>
    <w:p w14:paraId="7DBD0BC8" w14:textId="77777777" w:rsidR="00B801B1" w:rsidRDefault="00B801B1" w:rsidP="00B801B1">
      <w:pPr>
        <w:spacing w:before="100" w:beforeAutospacing="1" w:after="100" w:afterAutospacing="1"/>
        <w:rPr>
          <w:rFonts w:ascii="Arial" w:hAnsi="Arial" w:cs="Arial"/>
          <w:color w:val="000000"/>
          <w:sz w:val="22"/>
          <w:szCs w:val="22"/>
        </w:rPr>
      </w:pPr>
      <w:r>
        <w:rPr>
          <w:rFonts w:ascii="Arial" w:hAnsi="Arial" w:cs="Arial"/>
          <w:sz w:val="22"/>
          <w:szCs w:val="22"/>
        </w:rPr>
        <w:t xml:space="preserve">Der Weg zum Wunschkind führt häufig auch nur über die Nutzung von Spendersamen zum Ziel. „Behandlungen wie </w:t>
      </w:r>
      <w:r w:rsidRPr="00454858">
        <w:rPr>
          <w:rFonts w:ascii="Arial" w:hAnsi="Arial" w:cs="Arial"/>
          <w:sz w:val="22"/>
          <w:szCs w:val="22"/>
        </w:rPr>
        <w:t>IVF und ICSI mit Spendersamen nehmen deutlich zu</w:t>
      </w:r>
      <w:r>
        <w:rPr>
          <w:rFonts w:ascii="Arial" w:hAnsi="Arial" w:cs="Arial"/>
          <w:sz w:val="22"/>
          <w:szCs w:val="22"/>
        </w:rPr>
        <w:t xml:space="preserve">“, sagt Dr. Tauchert. Die aktuellen Ergebnisse zeigen, dass nach </w:t>
      </w:r>
      <w:r w:rsidRPr="00454858">
        <w:rPr>
          <w:rFonts w:ascii="Arial" w:hAnsi="Arial" w:cs="Arial"/>
          <w:sz w:val="22"/>
          <w:szCs w:val="22"/>
        </w:rPr>
        <w:t>1.129 Behandlungen i</w:t>
      </w:r>
      <w:r>
        <w:rPr>
          <w:rFonts w:ascii="Arial" w:hAnsi="Arial" w:cs="Arial"/>
          <w:sz w:val="22"/>
          <w:szCs w:val="22"/>
        </w:rPr>
        <w:t>m Jahr</w:t>
      </w:r>
      <w:r w:rsidRPr="00454858">
        <w:rPr>
          <w:rFonts w:ascii="Arial" w:hAnsi="Arial" w:cs="Arial"/>
          <w:sz w:val="22"/>
          <w:szCs w:val="22"/>
        </w:rPr>
        <w:t xml:space="preserve"> 2018</w:t>
      </w:r>
      <w:r>
        <w:rPr>
          <w:rFonts w:ascii="Arial" w:hAnsi="Arial" w:cs="Arial"/>
          <w:sz w:val="22"/>
          <w:szCs w:val="22"/>
        </w:rPr>
        <w:t xml:space="preserve"> die Anzahl 2023 fast verdreifacht hat. „Wir verzeichnen 3.177</w:t>
      </w:r>
      <w:r w:rsidRPr="00454858">
        <w:rPr>
          <w:rFonts w:ascii="Arial" w:hAnsi="Arial" w:cs="Arial"/>
          <w:sz w:val="22"/>
          <w:szCs w:val="22"/>
        </w:rPr>
        <w:t xml:space="preserve"> </w:t>
      </w:r>
      <w:r>
        <w:rPr>
          <w:rFonts w:ascii="Arial" w:hAnsi="Arial" w:cs="Arial"/>
          <w:sz w:val="22"/>
          <w:szCs w:val="22"/>
        </w:rPr>
        <w:t xml:space="preserve">Fälle </w:t>
      </w:r>
      <w:r w:rsidRPr="00454858">
        <w:rPr>
          <w:rFonts w:ascii="Arial" w:hAnsi="Arial" w:cs="Arial"/>
          <w:sz w:val="22"/>
          <w:szCs w:val="22"/>
        </w:rPr>
        <w:t>in 202</w:t>
      </w:r>
      <w:r>
        <w:rPr>
          <w:rFonts w:ascii="Arial" w:hAnsi="Arial" w:cs="Arial"/>
          <w:sz w:val="22"/>
          <w:szCs w:val="22"/>
        </w:rPr>
        <w:t xml:space="preserve">3“, sagt er. Die </w:t>
      </w:r>
      <w:r w:rsidRPr="00F54EAF">
        <w:rPr>
          <w:rFonts w:ascii="Arial" w:hAnsi="Arial" w:cs="Arial"/>
          <w:color w:val="000000"/>
          <w:sz w:val="22"/>
          <w:szCs w:val="22"/>
        </w:rPr>
        <w:t xml:space="preserve">vielfältigen Möglichkeiten der Reproduktionsmedizin </w:t>
      </w:r>
      <w:r>
        <w:rPr>
          <w:rFonts w:ascii="Arial" w:hAnsi="Arial" w:cs="Arial"/>
          <w:color w:val="000000"/>
          <w:sz w:val="22"/>
          <w:szCs w:val="22"/>
        </w:rPr>
        <w:t>bieten Chancen. I</w:t>
      </w:r>
      <w:r w:rsidRPr="00F54EAF">
        <w:rPr>
          <w:rFonts w:ascii="Arial" w:hAnsi="Arial" w:cs="Arial"/>
          <w:color w:val="000000"/>
          <w:sz w:val="22"/>
          <w:szCs w:val="22"/>
        </w:rPr>
        <w:t>n mehr als der Hälfte der Fälle liegt die Ursache der Kinderlosigkeit beim Mann, häufig bedingt durch eingeschränkte Spermaqualität.</w:t>
      </w:r>
      <w:r>
        <w:rPr>
          <w:rFonts w:ascii="Arial" w:hAnsi="Arial" w:cs="Arial"/>
          <w:color w:val="000000"/>
          <w:sz w:val="22"/>
          <w:szCs w:val="22"/>
        </w:rPr>
        <w:t xml:space="preserve"> Es zeigt sich auch, </w:t>
      </w:r>
      <w:r w:rsidRPr="000247E4">
        <w:rPr>
          <w:rFonts w:ascii="Arial" w:hAnsi="Arial" w:cs="Arial"/>
          <w:color w:val="000000"/>
          <w:sz w:val="22"/>
          <w:szCs w:val="22"/>
        </w:rPr>
        <w:t xml:space="preserve">dass </w:t>
      </w:r>
      <w:r>
        <w:rPr>
          <w:rFonts w:ascii="Arial" w:hAnsi="Arial" w:cs="Arial"/>
          <w:color w:val="000000"/>
          <w:sz w:val="22"/>
          <w:szCs w:val="22"/>
        </w:rPr>
        <w:t>die Behandlungen von</w:t>
      </w:r>
      <w:r w:rsidRPr="000247E4">
        <w:rPr>
          <w:rFonts w:ascii="Arial" w:hAnsi="Arial" w:cs="Arial"/>
          <w:color w:val="000000"/>
          <w:sz w:val="22"/>
          <w:szCs w:val="22"/>
        </w:rPr>
        <w:t xml:space="preserve"> </w:t>
      </w:r>
      <w:r>
        <w:rPr>
          <w:rFonts w:ascii="Arial" w:hAnsi="Arial" w:cs="Arial"/>
          <w:color w:val="000000"/>
          <w:sz w:val="22"/>
          <w:szCs w:val="22"/>
        </w:rPr>
        <w:t>„</w:t>
      </w:r>
      <w:r w:rsidRPr="000247E4">
        <w:rPr>
          <w:rFonts w:ascii="Arial" w:hAnsi="Arial" w:cs="Arial"/>
          <w:color w:val="000000"/>
          <w:sz w:val="22"/>
          <w:szCs w:val="22"/>
        </w:rPr>
        <w:t xml:space="preserve">Single </w:t>
      </w:r>
      <w:proofErr w:type="spellStart"/>
      <w:r w:rsidRPr="000247E4">
        <w:rPr>
          <w:rFonts w:ascii="Arial" w:hAnsi="Arial" w:cs="Arial"/>
          <w:color w:val="000000"/>
          <w:sz w:val="22"/>
          <w:szCs w:val="22"/>
        </w:rPr>
        <w:t>Mothers</w:t>
      </w:r>
      <w:proofErr w:type="spellEnd"/>
      <w:r w:rsidRPr="000247E4">
        <w:rPr>
          <w:rFonts w:ascii="Arial" w:hAnsi="Arial" w:cs="Arial"/>
          <w:color w:val="000000"/>
          <w:sz w:val="22"/>
          <w:szCs w:val="22"/>
        </w:rPr>
        <w:t xml:space="preserve"> </w:t>
      </w:r>
      <w:proofErr w:type="spellStart"/>
      <w:r w:rsidRPr="000247E4">
        <w:rPr>
          <w:rFonts w:ascii="Arial" w:hAnsi="Arial" w:cs="Arial"/>
          <w:color w:val="000000"/>
          <w:sz w:val="22"/>
          <w:szCs w:val="22"/>
        </w:rPr>
        <w:t>by</w:t>
      </w:r>
      <w:proofErr w:type="spellEnd"/>
      <w:r w:rsidRPr="000247E4">
        <w:rPr>
          <w:rFonts w:ascii="Arial" w:hAnsi="Arial" w:cs="Arial"/>
          <w:color w:val="000000"/>
          <w:sz w:val="22"/>
          <w:szCs w:val="22"/>
        </w:rPr>
        <w:t xml:space="preserve"> Choice“ sowie lesbische</w:t>
      </w:r>
      <w:r>
        <w:rPr>
          <w:rFonts w:ascii="Arial" w:hAnsi="Arial" w:cs="Arial"/>
          <w:color w:val="000000"/>
          <w:sz w:val="22"/>
          <w:szCs w:val="22"/>
        </w:rPr>
        <w:t>n</w:t>
      </w:r>
      <w:r w:rsidRPr="000247E4">
        <w:rPr>
          <w:rFonts w:ascii="Arial" w:hAnsi="Arial" w:cs="Arial"/>
          <w:color w:val="000000"/>
          <w:sz w:val="22"/>
          <w:szCs w:val="22"/>
        </w:rPr>
        <w:t xml:space="preserve"> Paare</w:t>
      </w:r>
      <w:r>
        <w:rPr>
          <w:rFonts w:ascii="Arial" w:hAnsi="Arial" w:cs="Arial"/>
          <w:color w:val="000000"/>
          <w:sz w:val="22"/>
          <w:szCs w:val="22"/>
        </w:rPr>
        <w:t>n</w:t>
      </w:r>
      <w:r w:rsidRPr="000247E4">
        <w:rPr>
          <w:rFonts w:ascii="Arial" w:hAnsi="Arial" w:cs="Arial"/>
          <w:color w:val="000000"/>
          <w:sz w:val="22"/>
          <w:szCs w:val="22"/>
        </w:rPr>
        <w:t xml:space="preserve"> </w:t>
      </w:r>
      <w:r>
        <w:rPr>
          <w:rFonts w:ascii="Arial" w:hAnsi="Arial" w:cs="Arial"/>
          <w:color w:val="000000"/>
          <w:sz w:val="22"/>
          <w:szCs w:val="22"/>
        </w:rPr>
        <w:t>in den letzten Jahren stark gestiegen sind.</w:t>
      </w:r>
    </w:p>
    <w:p w14:paraId="587A038C" w14:textId="77777777" w:rsidR="00B801B1" w:rsidRDefault="00B801B1" w:rsidP="00B801B1">
      <w:pPr>
        <w:spacing w:before="100" w:beforeAutospacing="1" w:after="100" w:afterAutospacing="1"/>
        <w:rPr>
          <w:rFonts w:ascii="Arial" w:hAnsi="Arial" w:cs="Arial"/>
          <w:color w:val="000000"/>
          <w:sz w:val="22"/>
          <w:szCs w:val="22"/>
        </w:rPr>
      </w:pPr>
      <w:r>
        <w:rPr>
          <w:rFonts w:ascii="Arial" w:hAnsi="Arial" w:cs="Arial"/>
          <w:color w:val="000000"/>
          <w:sz w:val="22"/>
          <w:szCs w:val="22"/>
        </w:rPr>
        <w:t>I</w:t>
      </w:r>
      <w:r w:rsidRPr="0065388A">
        <w:rPr>
          <w:rFonts w:ascii="Arial" w:hAnsi="Arial" w:cs="Arial"/>
          <w:sz w:val="22"/>
          <w:szCs w:val="22"/>
        </w:rPr>
        <w:t xml:space="preserve">n Deutschland </w:t>
      </w:r>
      <w:r>
        <w:rPr>
          <w:rFonts w:ascii="Arial" w:hAnsi="Arial" w:cs="Arial"/>
          <w:sz w:val="22"/>
          <w:szCs w:val="22"/>
        </w:rPr>
        <w:t xml:space="preserve">wird </w:t>
      </w:r>
      <w:r w:rsidRPr="0065388A">
        <w:rPr>
          <w:rFonts w:ascii="Arial" w:hAnsi="Arial" w:cs="Arial"/>
          <w:sz w:val="22"/>
          <w:szCs w:val="22"/>
        </w:rPr>
        <w:t>weder das Einfrieren noch</w:t>
      </w:r>
      <w:r>
        <w:rPr>
          <w:rFonts w:ascii="Arial" w:hAnsi="Arial" w:cs="Arial"/>
          <w:sz w:val="22"/>
          <w:szCs w:val="22"/>
        </w:rPr>
        <w:t xml:space="preserve"> </w:t>
      </w:r>
      <w:r w:rsidRPr="0065388A">
        <w:rPr>
          <w:rFonts w:ascii="Arial" w:hAnsi="Arial" w:cs="Arial"/>
          <w:sz w:val="22"/>
          <w:szCs w:val="22"/>
        </w:rPr>
        <w:t xml:space="preserve">der </w:t>
      </w:r>
      <w:r>
        <w:rPr>
          <w:rFonts w:ascii="Arial" w:hAnsi="Arial" w:cs="Arial"/>
          <w:sz w:val="22"/>
          <w:szCs w:val="22"/>
        </w:rPr>
        <w:t>spätere</w:t>
      </w:r>
      <w:r w:rsidRPr="0065388A">
        <w:rPr>
          <w:rFonts w:ascii="Arial" w:hAnsi="Arial" w:cs="Arial"/>
          <w:sz w:val="22"/>
          <w:szCs w:val="22"/>
        </w:rPr>
        <w:t xml:space="preserve"> </w:t>
      </w:r>
      <w:r>
        <w:rPr>
          <w:rFonts w:ascii="Arial" w:hAnsi="Arial" w:cs="Arial"/>
          <w:sz w:val="22"/>
          <w:szCs w:val="22"/>
        </w:rPr>
        <w:t xml:space="preserve">Auftau und </w:t>
      </w:r>
      <w:r w:rsidRPr="0065388A">
        <w:rPr>
          <w:rFonts w:ascii="Arial" w:hAnsi="Arial" w:cs="Arial"/>
          <w:sz w:val="22"/>
          <w:szCs w:val="22"/>
        </w:rPr>
        <w:t>Transfer von de</w:t>
      </w:r>
      <w:r>
        <w:rPr>
          <w:rFonts w:ascii="Arial" w:hAnsi="Arial" w:cs="Arial"/>
          <w:sz w:val="22"/>
          <w:szCs w:val="22"/>
        </w:rPr>
        <w:t>n</w:t>
      </w:r>
      <w:r w:rsidRPr="0065388A">
        <w:rPr>
          <w:rFonts w:ascii="Arial" w:hAnsi="Arial" w:cs="Arial"/>
          <w:sz w:val="22"/>
          <w:szCs w:val="22"/>
        </w:rPr>
        <w:t xml:space="preserve"> gesetzlichen Krankenkasse</w:t>
      </w:r>
      <w:r>
        <w:rPr>
          <w:rFonts w:ascii="Arial" w:hAnsi="Arial" w:cs="Arial"/>
          <w:sz w:val="22"/>
          <w:szCs w:val="22"/>
        </w:rPr>
        <w:t xml:space="preserve">n </w:t>
      </w:r>
      <w:r w:rsidRPr="0065388A">
        <w:rPr>
          <w:rFonts w:ascii="Arial" w:hAnsi="Arial" w:cs="Arial"/>
          <w:sz w:val="22"/>
          <w:szCs w:val="22"/>
        </w:rPr>
        <w:t xml:space="preserve">bezahlt. </w:t>
      </w:r>
      <w:r>
        <w:rPr>
          <w:rFonts w:ascii="Arial" w:hAnsi="Arial" w:cs="Arial"/>
          <w:sz w:val="22"/>
          <w:szCs w:val="22"/>
        </w:rPr>
        <w:t>„</w:t>
      </w:r>
      <w:r w:rsidRPr="0065388A">
        <w:rPr>
          <w:rFonts w:ascii="Arial" w:hAnsi="Arial" w:cs="Arial"/>
          <w:sz w:val="22"/>
          <w:szCs w:val="22"/>
        </w:rPr>
        <w:t>Dies hindert manche, die Chancen des Einfrierens und</w:t>
      </w:r>
      <w:r>
        <w:rPr>
          <w:rFonts w:ascii="Arial" w:hAnsi="Arial" w:cs="Arial"/>
          <w:sz w:val="22"/>
          <w:szCs w:val="22"/>
        </w:rPr>
        <w:t xml:space="preserve"> </w:t>
      </w:r>
      <w:r w:rsidRPr="0065388A">
        <w:rPr>
          <w:rFonts w:ascii="Arial" w:hAnsi="Arial" w:cs="Arial"/>
          <w:sz w:val="22"/>
          <w:szCs w:val="22"/>
        </w:rPr>
        <w:t>Auftauens in Anspruch zu nehmen. Andererseits wird die Kryokonservierung</w:t>
      </w:r>
      <w:r>
        <w:rPr>
          <w:rFonts w:ascii="Arial" w:hAnsi="Arial" w:cs="Arial"/>
          <w:sz w:val="22"/>
          <w:szCs w:val="22"/>
        </w:rPr>
        <w:t xml:space="preserve"> </w:t>
      </w:r>
      <w:r w:rsidRPr="0065388A">
        <w:rPr>
          <w:rFonts w:ascii="Arial" w:hAnsi="Arial" w:cs="Arial"/>
          <w:sz w:val="22"/>
          <w:szCs w:val="22"/>
        </w:rPr>
        <w:t>zunehmend in Anspruch genommen, da die</w:t>
      </w:r>
      <w:r>
        <w:rPr>
          <w:rFonts w:ascii="Arial" w:hAnsi="Arial" w:cs="Arial"/>
          <w:sz w:val="22"/>
          <w:szCs w:val="22"/>
        </w:rPr>
        <w:t xml:space="preserve"> </w:t>
      </w:r>
      <w:r w:rsidRPr="0065388A">
        <w:rPr>
          <w:rFonts w:ascii="Arial" w:hAnsi="Arial" w:cs="Arial"/>
          <w:sz w:val="22"/>
          <w:szCs w:val="22"/>
        </w:rPr>
        <w:t>Chancen mindestens gleich hoch sind und der Aufwand geringer</w:t>
      </w:r>
      <w:r>
        <w:rPr>
          <w:rFonts w:ascii="Arial" w:hAnsi="Arial" w:cs="Arial"/>
          <w:sz w:val="22"/>
          <w:szCs w:val="22"/>
        </w:rPr>
        <w:t>“ sagt Dr. Tandler-Schneider. Sein Fazit: „</w:t>
      </w:r>
      <w:r w:rsidRPr="0065388A">
        <w:rPr>
          <w:rFonts w:ascii="Arial" w:hAnsi="Arial" w:cs="Arial"/>
          <w:sz w:val="22"/>
          <w:szCs w:val="22"/>
        </w:rPr>
        <w:t>So traurig ein negativer Schwangerschaftstest nach einem</w:t>
      </w:r>
      <w:r>
        <w:rPr>
          <w:rFonts w:ascii="Arial" w:hAnsi="Arial" w:cs="Arial"/>
          <w:sz w:val="22"/>
          <w:szCs w:val="22"/>
        </w:rPr>
        <w:t xml:space="preserve"> </w:t>
      </w:r>
      <w:r w:rsidRPr="0065388A">
        <w:rPr>
          <w:rFonts w:ascii="Arial" w:hAnsi="Arial" w:cs="Arial"/>
          <w:sz w:val="22"/>
          <w:szCs w:val="22"/>
        </w:rPr>
        <w:t xml:space="preserve">Transfer ist, die Tatsache, dass nach vier Transfers </w:t>
      </w:r>
      <w:r w:rsidRPr="0065388A">
        <w:rPr>
          <w:rFonts w:ascii="Arial" w:hAnsi="Arial" w:cs="Arial"/>
          <w:sz w:val="22"/>
          <w:szCs w:val="22"/>
        </w:rPr>
        <w:lastRenderedPageBreak/>
        <w:t>inklusive Kryokonservierung</w:t>
      </w:r>
      <w:r>
        <w:rPr>
          <w:rFonts w:ascii="Arial" w:hAnsi="Arial" w:cs="Arial"/>
          <w:sz w:val="22"/>
          <w:szCs w:val="22"/>
        </w:rPr>
        <w:t xml:space="preserve"> </w:t>
      </w:r>
      <w:r w:rsidRPr="0065388A">
        <w:rPr>
          <w:rFonts w:ascii="Arial" w:hAnsi="Arial" w:cs="Arial"/>
          <w:sz w:val="22"/>
          <w:szCs w:val="22"/>
        </w:rPr>
        <w:t>zwei Drittel der Patientinnen schwanger sind,</w:t>
      </w:r>
      <w:r>
        <w:rPr>
          <w:rFonts w:ascii="Arial" w:hAnsi="Arial" w:cs="Arial"/>
          <w:sz w:val="22"/>
          <w:szCs w:val="22"/>
        </w:rPr>
        <w:t xml:space="preserve"> </w:t>
      </w:r>
      <w:r w:rsidRPr="0065388A">
        <w:rPr>
          <w:rFonts w:ascii="Arial" w:hAnsi="Arial" w:cs="Arial"/>
          <w:sz w:val="22"/>
          <w:szCs w:val="22"/>
        </w:rPr>
        <w:t xml:space="preserve">sollte Mut machen und ist für die Beratung </w:t>
      </w:r>
      <w:r>
        <w:rPr>
          <w:rFonts w:ascii="Arial" w:hAnsi="Arial" w:cs="Arial"/>
          <w:sz w:val="22"/>
          <w:szCs w:val="22"/>
        </w:rPr>
        <w:t xml:space="preserve">von Kinderwunschpatienten </w:t>
      </w:r>
      <w:r w:rsidRPr="0065388A">
        <w:rPr>
          <w:rFonts w:ascii="Arial" w:hAnsi="Arial" w:cs="Arial"/>
          <w:sz w:val="22"/>
          <w:szCs w:val="22"/>
        </w:rPr>
        <w:t>immens wichtig.</w:t>
      </w:r>
      <w:r>
        <w:rPr>
          <w:rFonts w:ascii="Arial" w:hAnsi="Arial" w:cs="Arial"/>
          <w:sz w:val="22"/>
          <w:szCs w:val="22"/>
        </w:rPr>
        <w:t>“</w:t>
      </w:r>
    </w:p>
    <w:p w14:paraId="5BE6F07E" w14:textId="77777777" w:rsidR="00B801B1" w:rsidRPr="00BD6768" w:rsidRDefault="00B801B1" w:rsidP="00B801B1">
      <w:pPr>
        <w:autoSpaceDE w:val="0"/>
        <w:autoSpaceDN w:val="0"/>
        <w:adjustRightInd w:val="0"/>
        <w:rPr>
          <w:rFonts w:ascii="Arial" w:hAnsi="Arial" w:cs="Arial"/>
          <w:sz w:val="22"/>
          <w:szCs w:val="22"/>
        </w:rPr>
      </w:pPr>
      <w:r w:rsidRPr="00BD6768">
        <w:rPr>
          <w:rFonts w:ascii="Arial" w:hAnsi="Arial" w:cs="Arial"/>
          <w:sz w:val="22"/>
          <w:szCs w:val="22"/>
        </w:rPr>
        <w:t>Erstmalig gibt es für das Jahr 2024 eine Auswertung zum Anti-M</w:t>
      </w:r>
      <w:r>
        <w:rPr>
          <w:rFonts w:ascii="Arial" w:hAnsi="Arial" w:cs="Arial"/>
          <w:sz w:val="22"/>
          <w:szCs w:val="22"/>
        </w:rPr>
        <w:t>ü</w:t>
      </w:r>
      <w:r w:rsidRPr="00BD6768">
        <w:rPr>
          <w:rFonts w:ascii="Arial" w:hAnsi="Arial" w:cs="Arial"/>
          <w:sz w:val="22"/>
          <w:szCs w:val="22"/>
        </w:rPr>
        <w:t xml:space="preserve">ller-Hormonwert (AMH). </w:t>
      </w:r>
    </w:p>
    <w:p w14:paraId="654E3C6B" w14:textId="3123C2F3" w:rsidR="00B801B1" w:rsidRDefault="00B801B1" w:rsidP="00B801B1">
      <w:pPr>
        <w:autoSpaceDE w:val="0"/>
        <w:autoSpaceDN w:val="0"/>
        <w:adjustRightInd w:val="0"/>
        <w:rPr>
          <w:rFonts w:ascii="Arial" w:hAnsi="Arial" w:cs="Arial"/>
          <w:sz w:val="22"/>
          <w:szCs w:val="22"/>
        </w:rPr>
      </w:pPr>
      <w:r w:rsidRPr="00BD6768">
        <w:rPr>
          <w:rFonts w:ascii="Arial" w:hAnsi="Arial" w:cs="Arial"/>
          <w:color w:val="000000"/>
          <w:sz w:val="22"/>
          <w:szCs w:val="22"/>
        </w:rPr>
        <w:t>„Das AMH ist ein zentraler Laborwert, um die</w:t>
      </w:r>
      <w:r>
        <w:rPr>
          <w:rStyle w:val="apple-converted-space"/>
          <w:rFonts w:ascii="Arial" w:hAnsi="Arial" w:cs="Arial"/>
          <w:color w:val="000000"/>
          <w:sz w:val="22"/>
          <w:szCs w:val="22"/>
        </w:rPr>
        <w:t xml:space="preserve"> individuelle </w:t>
      </w:r>
      <w:r w:rsidRPr="00F56C48">
        <w:rPr>
          <w:rStyle w:val="Fett"/>
          <w:rFonts w:ascii="Arial" w:hAnsi="Arial" w:cs="Arial"/>
          <w:b w:val="0"/>
          <w:bCs w:val="0"/>
          <w:color w:val="000000"/>
          <w:sz w:val="22"/>
          <w:szCs w:val="22"/>
        </w:rPr>
        <w:t>Fruchtbarkeit und Stimulationsantwort</w:t>
      </w:r>
      <w:r w:rsidRPr="00BD6768">
        <w:rPr>
          <w:rStyle w:val="apple-converted-space"/>
          <w:rFonts w:ascii="Arial" w:hAnsi="Arial" w:cs="Arial"/>
          <w:color w:val="000000"/>
          <w:sz w:val="22"/>
          <w:szCs w:val="22"/>
        </w:rPr>
        <w:t xml:space="preserve"> </w:t>
      </w:r>
      <w:r>
        <w:rPr>
          <w:rFonts w:ascii="Arial" w:hAnsi="Arial" w:cs="Arial"/>
          <w:color w:val="000000"/>
          <w:sz w:val="22"/>
          <w:szCs w:val="22"/>
        </w:rPr>
        <w:t>für die</w:t>
      </w:r>
      <w:r w:rsidRPr="00BD6768">
        <w:rPr>
          <w:rFonts w:ascii="Arial" w:hAnsi="Arial" w:cs="Arial"/>
          <w:color w:val="000000"/>
          <w:sz w:val="22"/>
          <w:szCs w:val="22"/>
        </w:rPr>
        <w:t xml:space="preserve"> künstliche Befruchtung einzuschätzen und liefert uns wichtige Informationen</w:t>
      </w:r>
      <w:r>
        <w:rPr>
          <w:rFonts w:ascii="Arial" w:hAnsi="Arial" w:cs="Arial"/>
          <w:color w:val="000000"/>
          <w:sz w:val="22"/>
          <w:szCs w:val="22"/>
        </w:rPr>
        <w:t>“</w:t>
      </w:r>
      <w:r w:rsidRPr="00BD6768">
        <w:rPr>
          <w:rFonts w:ascii="Arial" w:hAnsi="Arial" w:cs="Arial"/>
          <w:color w:val="000000"/>
          <w:sz w:val="22"/>
          <w:szCs w:val="22"/>
        </w:rPr>
        <w:t xml:space="preserve"> sagt </w:t>
      </w:r>
      <w:r>
        <w:rPr>
          <w:rFonts w:ascii="Arial" w:hAnsi="Arial" w:cs="Arial"/>
          <w:sz w:val="22"/>
          <w:szCs w:val="22"/>
        </w:rPr>
        <w:t>Dr. Tandler-Schneider</w:t>
      </w:r>
      <w:r w:rsidRPr="00BD6768">
        <w:rPr>
          <w:rFonts w:ascii="Arial" w:hAnsi="Arial" w:cs="Arial"/>
          <w:color w:val="000000"/>
          <w:sz w:val="22"/>
          <w:szCs w:val="22"/>
        </w:rPr>
        <w:t>. „</w:t>
      </w:r>
      <w:r w:rsidRPr="00BD6768">
        <w:rPr>
          <w:rFonts w:ascii="Arial" w:hAnsi="Arial" w:cs="Arial"/>
          <w:sz w:val="22"/>
          <w:szCs w:val="22"/>
        </w:rPr>
        <w:t>Wir gehen davon aus, dass wir in Zukunft eine deutlich höhere Erfassungsquote erreichen werden</w:t>
      </w:r>
      <w:r>
        <w:rPr>
          <w:rFonts w:ascii="Arial" w:hAnsi="Arial" w:cs="Arial"/>
          <w:sz w:val="22"/>
          <w:szCs w:val="22"/>
        </w:rPr>
        <w:t>.“</w:t>
      </w:r>
    </w:p>
    <w:p w14:paraId="0570BB14" w14:textId="77777777" w:rsidR="00B801B1" w:rsidRPr="00234CEF" w:rsidRDefault="00B801B1" w:rsidP="00B801B1">
      <w:pPr>
        <w:spacing w:before="100" w:beforeAutospacing="1" w:after="100" w:afterAutospacing="1"/>
        <w:rPr>
          <w:rFonts w:ascii="Arial" w:hAnsi="Arial" w:cs="Arial"/>
          <w:b/>
          <w:bCs/>
          <w:color w:val="000000" w:themeColor="text1"/>
          <w:sz w:val="22"/>
          <w:szCs w:val="22"/>
        </w:rPr>
      </w:pPr>
      <w:r>
        <w:rPr>
          <w:rFonts w:ascii="Arial" w:hAnsi="Arial" w:cs="Arial"/>
          <w:b/>
          <w:bCs/>
          <w:color w:val="000000" w:themeColor="text1"/>
          <w:sz w:val="22"/>
          <w:szCs w:val="22"/>
        </w:rPr>
        <w:t>S</w:t>
      </w:r>
      <w:r w:rsidRPr="00234CEF">
        <w:rPr>
          <w:rFonts w:ascii="Arial" w:hAnsi="Arial" w:cs="Arial"/>
          <w:b/>
          <w:bCs/>
          <w:color w:val="000000" w:themeColor="text1"/>
          <w:sz w:val="22"/>
          <w:szCs w:val="22"/>
        </w:rPr>
        <w:t>onderausgabe des Jahrbuchs 202</w:t>
      </w:r>
      <w:r>
        <w:rPr>
          <w:rFonts w:ascii="Arial" w:hAnsi="Arial" w:cs="Arial"/>
          <w:b/>
          <w:bCs/>
          <w:color w:val="000000" w:themeColor="text1"/>
          <w:sz w:val="22"/>
          <w:szCs w:val="22"/>
        </w:rPr>
        <w:t>4</w:t>
      </w:r>
      <w:r w:rsidRPr="00234CEF">
        <w:rPr>
          <w:rFonts w:ascii="Arial" w:hAnsi="Arial" w:cs="Arial"/>
          <w:b/>
          <w:bCs/>
          <w:color w:val="000000" w:themeColor="text1"/>
          <w:sz w:val="22"/>
          <w:szCs w:val="22"/>
        </w:rPr>
        <w:t xml:space="preserve"> des Deutschen</w:t>
      </w:r>
      <w:r>
        <w:rPr>
          <w:rFonts w:ascii="Arial" w:hAnsi="Arial" w:cs="Arial"/>
          <w:b/>
          <w:bCs/>
          <w:color w:val="000000" w:themeColor="text1"/>
          <w:sz w:val="22"/>
          <w:szCs w:val="22"/>
        </w:rPr>
        <w:t xml:space="preserve"> </w:t>
      </w:r>
      <w:r w:rsidRPr="00234CEF">
        <w:rPr>
          <w:rFonts w:ascii="Arial" w:hAnsi="Arial" w:cs="Arial"/>
          <w:b/>
          <w:bCs/>
          <w:color w:val="000000" w:themeColor="text1"/>
          <w:sz w:val="22"/>
          <w:szCs w:val="22"/>
        </w:rPr>
        <w:t>IVF-Registers für Paare</w:t>
      </w:r>
    </w:p>
    <w:p w14:paraId="50C59873" w14:textId="77777777" w:rsidR="00B801B1" w:rsidRPr="00234CEF" w:rsidRDefault="00B801B1" w:rsidP="00B801B1">
      <w:pPr>
        <w:spacing w:before="100" w:beforeAutospacing="1" w:after="100" w:afterAutospacing="1"/>
        <w:rPr>
          <w:rFonts w:ascii="Arial" w:hAnsi="Arial" w:cs="Arial"/>
          <w:color w:val="000000" w:themeColor="text1"/>
          <w:sz w:val="22"/>
          <w:szCs w:val="22"/>
        </w:rPr>
      </w:pPr>
      <w:r w:rsidRPr="00234CEF">
        <w:rPr>
          <w:rFonts w:ascii="Arial" w:hAnsi="Arial" w:cs="Arial"/>
          <w:color w:val="000000" w:themeColor="text1"/>
          <w:sz w:val="22"/>
          <w:szCs w:val="22"/>
        </w:rPr>
        <w:t xml:space="preserve">In der aktuellen Sonderausgabe, die einen </w:t>
      </w:r>
      <w:r>
        <w:rPr>
          <w:rFonts w:ascii="Arial" w:hAnsi="Arial" w:cs="Arial"/>
          <w:color w:val="000000" w:themeColor="text1"/>
          <w:sz w:val="22"/>
          <w:szCs w:val="22"/>
        </w:rPr>
        <w:t xml:space="preserve">kommentierten </w:t>
      </w:r>
      <w:r w:rsidRPr="00234CEF">
        <w:rPr>
          <w:rFonts w:ascii="Arial" w:hAnsi="Arial" w:cs="Arial"/>
          <w:color w:val="000000" w:themeColor="text1"/>
          <w:sz w:val="22"/>
          <w:szCs w:val="22"/>
        </w:rPr>
        <w:t>Auszug aus dem großen Jahrbuch 202</w:t>
      </w:r>
      <w:r>
        <w:rPr>
          <w:rFonts w:ascii="Arial" w:hAnsi="Arial" w:cs="Arial"/>
          <w:color w:val="000000" w:themeColor="text1"/>
          <w:sz w:val="22"/>
          <w:szCs w:val="22"/>
        </w:rPr>
        <w:t>4</w:t>
      </w:r>
      <w:r w:rsidRPr="00234CEF">
        <w:rPr>
          <w:rFonts w:ascii="Arial" w:hAnsi="Arial" w:cs="Arial"/>
          <w:color w:val="000000" w:themeColor="text1"/>
          <w:sz w:val="22"/>
          <w:szCs w:val="22"/>
        </w:rPr>
        <w:t xml:space="preserve"> des Deutschen IVF-Registers </w:t>
      </w:r>
      <w:r w:rsidRPr="00234CEF">
        <w:rPr>
          <w:rFonts w:ascii="Arial" w:hAnsi="Arial" w:cs="Arial"/>
          <w:color w:val="000000" w:themeColor="text1"/>
          <w:sz w:val="22"/>
          <w:szCs w:val="22"/>
          <w:shd w:val="clear" w:color="auto" w:fill="FFFFFF"/>
        </w:rPr>
        <w:t>(D·I·R)</w:t>
      </w:r>
      <w:r w:rsidRPr="00234CEF">
        <w:rPr>
          <w:rFonts w:ascii="Arial" w:hAnsi="Arial" w:cs="Arial"/>
          <w:color w:val="000000" w:themeColor="text1"/>
          <w:sz w:val="22"/>
          <w:szCs w:val="22"/>
          <w:shd w:val="clear" w:color="auto" w:fill="FFFFFF"/>
          <w:vertAlign w:val="superscript"/>
        </w:rPr>
        <w:t xml:space="preserve"> </w:t>
      </w:r>
      <w:r w:rsidRPr="00234CEF">
        <w:rPr>
          <w:rFonts w:ascii="Arial" w:hAnsi="Arial" w:cs="Arial"/>
          <w:color w:val="000000" w:themeColor="text1"/>
          <w:sz w:val="22"/>
          <w:szCs w:val="22"/>
        </w:rPr>
        <w:t>darstellt, können sich Paare mit einer ungewollten Kinderlosigkeit und Paare, die aktuell in Kinderwunschbehandlung sind</w:t>
      </w:r>
      <w:r>
        <w:rPr>
          <w:rFonts w:ascii="Arial" w:hAnsi="Arial" w:cs="Arial"/>
          <w:color w:val="000000" w:themeColor="text1"/>
          <w:sz w:val="22"/>
          <w:szCs w:val="22"/>
        </w:rPr>
        <w:t>,</w:t>
      </w:r>
      <w:r w:rsidRPr="00234CEF">
        <w:rPr>
          <w:rFonts w:ascii="Arial" w:hAnsi="Arial" w:cs="Arial"/>
          <w:color w:val="000000" w:themeColor="text1"/>
          <w:sz w:val="22"/>
          <w:szCs w:val="22"/>
        </w:rPr>
        <w:t xml:space="preserve"> sowie die allgemein interessierte Öffentlichkeit informieren. </w:t>
      </w:r>
      <w:r>
        <w:rPr>
          <w:rFonts w:ascii="Arial" w:hAnsi="Arial" w:cs="Arial"/>
          <w:color w:val="000000" w:themeColor="text1"/>
          <w:sz w:val="22"/>
          <w:szCs w:val="22"/>
        </w:rPr>
        <w:t>Die Sonderausgabe ist online abrufbar.</w:t>
      </w:r>
    </w:p>
    <w:p w14:paraId="79208FE6" w14:textId="1C6AA844" w:rsidR="00DA4F80" w:rsidRPr="00DA4F80" w:rsidRDefault="00DA4F80" w:rsidP="006109DD">
      <w:pPr>
        <w:pStyle w:val="StandardWeb"/>
        <w:rPr>
          <w:rFonts w:ascii="Arial" w:hAnsi="Arial" w:cs="Arial"/>
          <w:b/>
          <w:bCs/>
          <w:color w:val="000000"/>
          <w:sz w:val="22"/>
          <w:szCs w:val="22"/>
        </w:rPr>
      </w:pPr>
      <w:r w:rsidRPr="00DA4F80">
        <w:rPr>
          <w:rFonts w:ascii="Arial" w:hAnsi="Arial" w:cs="Arial"/>
          <w:b/>
          <w:bCs/>
          <w:color w:val="000000"/>
          <w:sz w:val="22"/>
          <w:szCs w:val="22"/>
        </w:rPr>
        <w:t>Über das Deutsche IVF-Register</w:t>
      </w:r>
    </w:p>
    <w:p w14:paraId="7574C35B" w14:textId="6E1AAE93" w:rsidR="00E309D0" w:rsidRDefault="00E309D0" w:rsidP="00E309D0">
      <w:pPr>
        <w:spacing w:before="100" w:beforeAutospacing="1" w:after="100" w:afterAutospacing="1"/>
        <w:rPr>
          <w:rFonts w:ascii="Arial" w:hAnsi="Arial" w:cs="Arial"/>
          <w:color w:val="000000"/>
          <w:sz w:val="22"/>
          <w:szCs w:val="22"/>
        </w:rPr>
      </w:pPr>
      <w:r w:rsidRPr="00F54EAF">
        <w:rPr>
          <w:rFonts w:ascii="Arial" w:hAnsi="Arial" w:cs="Arial"/>
          <w:color w:val="000000"/>
          <w:sz w:val="22"/>
          <w:szCs w:val="22"/>
        </w:rPr>
        <w:t xml:space="preserve">Mit den neuesten Zahlen und Erkenntnissen zur Kinderwunschbehandlung in Deutschland liefert das Deutsche IVF-Register </w:t>
      </w:r>
      <w:r w:rsidRPr="00B7517A">
        <w:rPr>
          <w:rFonts w:ascii="Arial" w:hAnsi="Arial" w:cs="Arial"/>
          <w:bCs/>
          <w:color w:val="000000" w:themeColor="text1"/>
          <w:sz w:val="22"/>
          <w:szCs w:val="22"/>
          <w:shd w:val="clear" w:color="auto" w:fill="FFFFFF"/>
        </w:rPr>
        <w:t>(D·I·R)</w:t>
      </w:r>
      <w:r>
        <w:rPr>
          <w:rFonts w:ascii="Arial" w:hAnsi="Arial" w:cs="Arial"/>
          <w:bCs/>
          <w:color w:val="000000" w:themeColor="text1"/>
          <w:sz w:val="22"/>
          <w:szCs w:val="22"/>
          <w:shd w:val="clear" w:color="auto" w:fill="FFFFFF"/>
        </w:rPr>
        <w:t xml:space="preserve"> aus </w:t>
      </w:r>
      <w:r w:rsidR="00C11C49">
        <w:rPr>
          <w:rFonts w:ascii="Arial" w:hAnsi="Arial" w:cs="Arial"/>
          <w:bCs/>
          <w:color w:val="000000" w:themeColor="text1"/>
          <w:sz w:val="22"/>
          <w:szCs w:val="22"/>
          <w:shd w:val="clear" w:color="auto" w:fill="FFFFFF"/>
        </w:rPr>
        <w:t>über</w:t>
      </w:r>
      <w:r>
        <w:rPr>
          <w:rFonts w:ascii="Arial" w:hAnsi="Arial" w:cs="Arial"/>
          <w:bCs/>
          <w:color w:val="000000" w:themeColor="text1"/>
          <w:sz w:val="22"/>
          <w:szCs w:val="22"/>
          <w:shd w:val="clear" w:color="auto" w:fill="FFFFFF"/>
        </w:rPr>
        <w:t xml:space="preserve"> 2,6 Millionen Behandlungen </w:t>
      </w:r>
      <w:r w:rsidRPr="00F54EAF">
        <w:rPr>
          <w:rFonts w:ascii="Arial" w:hAnsi="Arial" w:cs="Arial"/>
          <w:color w:val="000000"/>
          <w:sz w:val="22"/>
          <w:szCs w:val="22"/>
        </w:rPr>
        <w:t>einen wichtigen Überblick über die Fortschritte in der Reproduktionsmedizin. Bisher haben über 4</w:t>
      </w:r>
      <w:r>
        <w:rPr>
          <w:rFonts w:ascii="Arial" w:hAnsi="Arial" w:cs="Arial"/>
          <w:color w:val="000000"/>
          <w:sz w:val="22"/>
          <w:szCs w:val="22"/>
        </w:rPr>
        <w:t>3</w:t>
      </w:r>
      <w:r w:rsidRPr="00F54EAF">
        <w:rPr>
          <w:rFonts w:ascii="Arial" w:hAnsi="Arial" w:cs="Arial"/>
          <w:color w:val="000000"/>
          <w:sz w:val="22"/>
          <w:szCs w:val="22"/>
        </w:rPr>
        <w:t>0.000 Kinder nach Kinderwunschbehandlungen das Licht der Welt erblickt, und die fortpflanzungsmedizinischen Techniken gelten als sicher. „Das Risiko einer Überstimulation durch Hormontherapie liegt bei nur 0,2 Prozent, und Komplikationen wie Blutungen nach der Eizellentnahme treten in etwa 0,8 Prozent der Fälle auf“, heißt es in den aktuellen Auswertungen.</w:t>
      </w:r>
    </w:p>
    <w:p w14:paraId="7BCF2DD8" w14:textId="77777777" w:rsidR="004F2B82" w:rsidRDefault="004F2B82" w:rsidP="00E53BE1">
      <w:pPr>
        <w:spacing w:before="100" w:beforeAutospacing="1" w:after="100" w:afterAutospacing="1"/>
        <w:rPr>
          <w:rFonts w:ascii="Arial" w:eastAsia="Times New Roman" w:hAnsi="Arial" w:cs="Arial"/>
          <w:color w:val="000000"/>
          <w:sz w:val="22"/>
          <w:szCs w:val="22"/>
          <w:lang w:eastAsia="de-DE"/>
        </w:rPr>
      </w:pPr>
    </w:p>
    <w:p w14:paraId="1FBFF07B" w14:textId="4A246A16" w:rsidR="004F2B82" w:rsidRDefault="00E53BE1" w:rsidP="00E53BE1">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color w:val="000000"/>
          <w:sz w:val="22"/>
          <w:szCs w:val="22"/>
          <w:lang w:eastAsia="de-DE"/>
        </w:rPr>
        <w:t xml:space="preserve">Weitere Informationen, aktuelle Zahlen und Analysen sind im Jahrbuch des Deutschen IVF-Registers </w:t>
      </w:r>
      <w:r w:rsidR="00B434CD" w:rsidRPr="00B7517A">
        <w:rPr>
          <w:rFonts w:ascii="Arial" w:eastAsia="Times New Roman" w:hAnsi="Arial" w:cs="Arial"/>
          <w:bCs/>
          <w:color w:val="000000" w:themeColor="text1"/>
          <w:sz w:val="22"/>
          <w:szCs w:val="22"/>
          <w:shd w:val="clear" w:color="auto" w:fill="FFFFFF"/>
          <w:lang w:eastAsia="de-DE"/>
        </w:rPr>
        <w:t>(D·I·R)</w:t>
      </w:r>
      <w:r w:rsidR="00B434CD">
        <w:rPr>
          <w:rFonts w:ascii="Arial" w:eastAsia="Times New Roman" w:hAnsi="Arial" w:cs="Arial"/>
          <w:bCs/>
          <w:color w:val="000000" w:themeColor="text1"/>
          <w:sz w:val="22"/>
          <w:szCs w:val="22"/>
          <w:shd w:val="clear" w:color="auto" w:fill="FFFFFF"/>
          <w:lang w:eastAsia="de-DE"/>
        </w:rPr>
        <w:t xml:space="preserve"> </w:t>
      </w:r>
      <w:r w:rsidR="004F2B82">
        <w:rPr>
          <w:rFonts w:ascii="Arial" w:eastAsia="Times New Roman" w:hAnsi="Arial" w:cs="Arial"/>
          <w:bCs/>
          <w:color w:val="000000" w:themeColor="text1"/>
          <w:sz w:val="22"/>
          <w:szCs w:val="22"/>
          <w:shd w:val="clear" w:color="auto" w:fill="FFFFFF"/>
          <w:lang w:eastAsia="de-DE"/>
        </w:rPr>
        <w:t xml:space="preserve">und in der Sonderausgabe für Paare </w:t>
      </w:r>
      <w:r w:rsidRPr="00F54EAF">
        <w:rPr>
          <w:rFonts w:ascii="Arial" w:eastAsia="Times New Roman" w:hAnsi="Arial" w:cs="Arial"/>
          <w:color w:val="000000"/>
          <w:sz w:val="22"/>
          <w:szCs w:val="22"/>
          <w:lang w:eastAsia="de-DE"/>
        </w:rPr>
        <w:t>zu finden, d</w:t>
      </w:r>
      <w:r w:rsidR="004F2B82">
        <w:rPr>
          <w:rFonts w:ascii="Arial" w:eastAsia="Times New Roman" w:hAnsi="Arial" w:cs="Arial"/>
          <w:color w:val="000000"/>
          <w:sz w:val="22"/>
          <w:szCs w:val="22"/>
          <w:lang w:eastAsia="de-DE"/>
        </w:rPr>
        <w:t>ie</w:t>
      </w:r>
      <w:r w:rsidRPr="00F54EAF">
        <w:rPr>
          <w:rFonts w:ascii="Arial" w:eastAsia="Times New Roman" w:hAnsi="Arial" w:cs="Arial"/>
          <w:color w:val="000000"/>
          <w:sz w:val="22"/>
          <w:szCs w:val="22"/>
          <w:lang w:eastAsia="de-DE"/>
        </w:rPr>
        <w:t xml:space="preserve"> am </w:t>
      </w:r>
      <w:r w:rsidR="00E309D0">
        <w:rPr>
          <w:rFonts w:ascii="Arial" w:eastAsia="Times New Roman" w:hAnsi="Arial" w:cs="Arial"/>
          <w:color w:val="000000"/>
          <w:sz w:val="22"/>
          <w:szCs w:val="22"/>
          <w:lang w:eastAsia="de-DE"/>
        </w:rPr>
        <w:t>29</w:t>
      </w:r>
      <w:r w:rsidR="00234CEF">
        <w:rPr>
          <w:rFonts w:ascii="Arial" w:eastAsia="Times New Roman" w:hAnsi="Arial" w:cs="Arial"/>
          <w:color w:val="000000"/>
          <w:sz w:val="22"/>
          <w:szCs w:val="22"/>
          <w:lang w:eastAsia="de-DE"/>
        </w:rPr>
        <w:t>.11.202</w:t>
      </w:r>
      <w:r w:rsidR="00E309D0">
        <w:rPr>
          <w:rFonts w:ascii="Arial" w:eastAsia="Times New Roman" w:hAnsi="Arial" w:cs="Arial"/>
          <w:color w:val="000000"/>
          <w:sz w:val="22"/>
          <w:szCs w:val="22"/>
          <w:lang w:eastAsia="de-DE"/>
        </w:rPr>
        <w:t>5</w:t>
      </w:r>
      <w:r w:rsidRPr="00F54EAF">
        <w:rPr>
          <w:rFonts w:ascii="Arial" w:eastAsia="Times New Roman" w:hAnsi="Arial" w:cs="Arial"/>
          <w:color w:val="000000"/>
          <w:sz w:val="22"/>
          <w:szCs w:val="22"/>
          <w:lang w:eastAsia="de-DE"/>
        </w:rPr>
        <w:t xml:space="preserve"> ersch</w:t>
      </w:r>
      <w:r w:rsidR="00234CEF">
        <w:rPr>
          <w:rFonts w:ascii="Arial" w:eastAsia="Times New Roman" w:hAnsi="Arial" w:cs="Arial"/>
          <w:color w:val="000000"/>
          <w:sz w:val="22"/>
          <w:szCs w:val="22"/>
          <w:lang w:eastAsia="de-DE"/>
        </w:rPr>
        <w:t xml:space="preserve">ienen und </w:t>
      </w:r>
      <w:r w:rsidR="00E309D0">
        <w:rPr>
          <w:rFonts w:ascii="Arial" w:eastAsia="Times New Roman" w:hAnsi="Arial" w:cs="Arial"/>
          <w:color w:val="000000"/>
          <w:sz w:val="22"/>
          <w:szCs w:val="22"/>
          <w:lang w:eastAsia="de-DE"/>
        </w:rPr>
        <w:t xml:space="preserve">anschließend </w:t>
      </w:r>
      <w:r w:rsidR="00234CEF">
        <w:rPr>
          <w:rFonts w:ascii="Arial" w:eastAsia="Times New Roman" w:hAnsi="Arial" w:cs="Arial"/>
          <w:color w:val="000000"/>
          <w:sz w:val="22"/>
          <w:szCs w:val="22"/>
          <w:lang w:eastAsia="de-DE"/>
        </w:rPr>
        <w:t xml:space="preserve">auch online abrufbar </w:t>
      </w:r>
      <w:r w:rsidR="004F2B82">
        <w:rPr>
          <w:rFonts w:ascii="Arial" w:eastAsia="Times New Roman" w:hAnsi="Arial" w:cs="Arial"/>
          <w:color w:val="000000"/>
          <w:sz w:val="22"/>
          <w:szCs w:val="22"/>
          <w:lang w:eastAsia="de-DE"/>
        </w:rPr>
        <w:t>sind</w:t>
      </w:r>
      <w:r w:rsidRPr="00F54EAF">
        <w:rPr>
          <w:rFonts w:ascii="Arial" w:eastAsia="Times New Roman" w:hAnsi="Arial" w:cs="Arial"/>
          <w:color w:val="000000"/>
          <w:sz w:val="22"/>
          <w:szCs w:val="22"/>
          <w:lang w:eastAsia="de-DE"/>
        </w:rPr>
        <w:t>.</w:t>
      </w:r>
    </w:p>
    <w:p w14:paraId="5B8116B0" w14:textId="523A4041" w:rsidR="00403932" w:rsidRDefault="00E53BE1" w:rsidP="00E53BE1">
      <w:pPr>
        <w:spacing w:before="100" w:beforeAutospacing="1" w:after="100" w:afterAutospacing="1"/>
        <w:rPr>
          <w:rFonts w:ascii="Arial" w:eastAsia="Times New Roman" w:hAnsi="Arial" w:cs="Arial"/>
          <w:color w:val="000000"/>
          <w:sz w:val="22"/>
          <w:szCs w:val="22"/>
          <w:lang w:eastAsia="de-DE"/>
        </w:rPr>
      </w:pPr>
      <w:r w:rsidRPr="00F54EAF">
        <w:rPr>
          <w:rFonts w:ascii="Arial" w:eastAsia="Times New Roman" w:hAnsi="Arial" w:cs="Arial"/>
          <w:color w:val="000000"/>
          <w:sz w:val="22"/>
          <w:szCs w:val="22"/>
          <w:lang w:eastAsia="de-DE"/>
        </w:rPr>
        <w:t>Gerne vermitteln wir Ihnen dazu Interviewpartnerinnen und -partner.</w:t>
      </w:r>
    </w:p>
    <w:p w14:paraId="1CE40C30" w14:textId="56F74AE5" w:rsidR="000D069C" w:rsidRPr="000D069C" w:rsidRDefault="000D069C" w:rsidP="00E53BE1">
      <w:pPr>
        <w:spacing w:before="100" w:beforeAutospacing="1" w:after="100" w:afterAutospacing="1"/>
        <w:rPr>
          <w:rFonts w:ascii="Arial" w:eastAsia="Times New Roman" w:hAnsi="Arial" w:cs="Arial"/>
          <w:b/>
          <w:bCs/>
          <w:color w:val="000000"/>
          <w:sz w:val="22"/>
          <w:szCs w:val="22"/>
          <w:lang w:eastAsia="de-DE"/>
        </w:rPr>
      </w:pPr>
      <w:r w:rsidRPr="000D069C">
        <w:rPr>
          <w:rFonts w:ascii="Arial" w:eastAsia="Times New Roman" w:hAnsi="Arial" w:cs="Arial"/>
          <w:b/>
          <w:bCs/>
          <w:color w:val="000000"/>
          <w:sz w:val="22"/>
          <w:szCs w:val="22"/>
          <w:lang w:eastAsia="de-DE"/>
        </w:rPr>
        <w:t>Bildmaterial:</w:t>
      </w:r>
    </w:p>
    <w:p w14:paraId="0E8E18DA" w14:textId="3E8D3BC5" w:rsidR="000D069C" w:rsidRDefault="000D069C" w:rsidP="00E53BE1">
      <w:pPr>
        <w:spacing w:before="100" w:beforeAutospacing="1" w:after="100" w:afterAutospacing="1"/>
        <w:rPr>
          <w:rFonts w:ascii="Arial" w:eastAsia="Times New Roman" w:hAnsi="Arial" w:cs="Arial"/>
          <w:color w:val="000000"/>
          <w:sz w:val="22"/>
          <w:szCs w:val="22"/>
          <w:lang w:eastAsia="de-DE"/>
        </w:rPr>
      </w:pPr>
      <w:r w:rsidRPr="000D069C">
        <w:rPr>
          <w:rFonts w:ascii="Arial" w:eastAsia="Times New Roman" w:hAnsi="Arial" w:cs="Arial"/>
          <w:noProof/>
          <w:color w:val="000000"/>
          <w:sz w:val="22"/>
          <w:szCs w:val="22"/>
          <w:lang w:eastAsia="de-DE"/>
        </w:rPr>
        <w:lastRenderedPageBreak/>
        <w:drawing>
          <wp:inline distT="0" distB="0" distL="0" distR="0" wp14:anchorId="4B3AC3C5" wp14:editId="15FFE411">
            <wp:extent cx="5756910" cy="2966645"/>
            <wp:effectExtent l="0" t="0" r="0" b="5715"/>
            <wp:docPr id="6585556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5628" name="Grafik 1"/>
                    <pic:cNvPicPr/>
                  </pic:nvPicPr>
                  <pic:blipFill>
                    <a:blip r:embed="rId7"/>
                    <a:stretch>
                      <a:fillRect/>
                    </a:stretch>
                  </pic:blipFill>
                  <pic:spPr>
                    <a:xfrm>
                      <a:off x="0" y="0"/>
                      <a:ext cx="5756910" cy="2966645"/>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2D3B36" w14:paraId="64832207" w14:textId="77777777" w:rsidTr="00694DE4">
        <w:tc>
          <w:tcPr>
            <w:tcW w:w="3018" w:type="dxa"/>
          </w:tcPr>
          <w:p w14:paraId="76FAFD2D" w14:textId="130B822C"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noProof/>
                <w:color w:val="000000"/>
                <w:sz w:val="22"/>
                <w:szCs w:val="22"/>
                <w:lang w:eastAsia="de-DE"/>
              </w:rPr>
              <w:drawing>
                <wp:inline distT="0" distB="0" distL="0" distR="0" wp14:anchorId="3B8D7F64" wp14:editId="1A88B1B4">
                  <wp:extent cx="1766174" cy="2159306"/>
                  <wp:effectExtent l="0" t="0" r="0" b="0"/>
                  <wp:docPr id="450450749" name="Grafik 2"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50749" name="Grafik 2" descr="Ein Bild, das Menschliches Gesicht, Person, Lächeln, Kleidung enthält.&#10;&#10;Automatisch generierte Beschreibung"/>
                          <pic:cNvPicPr/>
                        </pic:nvPicPr>
                        <pic:blipFill>
                          <a:blip r:embed="rId8"/>
                          <a:stretch>
                            <a:fillRect/>
                          </a:stretch>
                        </pic:blipFill>
                        <pic:spPr>
                          <a:xfrm>
                            <a:off x="0" y="0"/>
                            <a:ext cx="1793922" cy="2193230"/>
                          </a:xfrm>
                          <a:prstGeom prst="rect">
                            <a:avLst/>
                          </a:prstGeom>
                        </pic:spPr>
                      </pic:pic>
                    </a:graphicData>
                  </a:graphic>
                </wp:inline>
              </w:drawing>
            </w:r>
          </w:p>
        </w:tc>
        <w:tc>
          <w:tcPr>
            <w:tcW w:w="3019" w:type="dxa"/>
          </w:tcPr>
          <w:p w14:paraId="7BBFF3C2" w14:textId="733352A7"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noProof/>
                <w:color w:val="000000"/>
                <w:sz w:val="22"/>
                <w:szCs w:val="22"/>
                <w:lang w:eastAsia="de-DE"/>
              </w:rPr>
              <w:drawing>
                <wp:inline distT="0" distB="0" distL="0" distR="0" wp14:anchorId="12F6BA8B" wp14:editId="2D9D62CF">
                  <wp:extent cx="1729648" cy="2097859"/>
                  <wp:effectExtent l="0" t="0" r="0" b="0"/>
                  <wp:docPr id="1941550204" name="Grafik 3" descr="Ein Bild, das Menschliches Gesicht, Shir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0204" name="Grafik 3" descr="Ein Bild, das Menschliches Gesicht, Shirt, Person, Kleidung enthält.&#10;&#10;Automatisch generierte Beschreibung"/>
                          <pic:cNvPicPr/>
                        </pic:nvPicPr>
                        <pic:blipFill>
                          <a:blip r:embed="rId9"/>
                          <a:stretch>
                            <a:fillRect/>
                          </a:stretch>
                        </pic:blipFill>
                        <pic:spPr>
                          <a:xfrm>
                            <a:off x="0" y="0"/>
                            <a:ext cx="1759826" cy="2134462"/>
                          </a:xfrm>
                          <a:prstGeom prst="rect">
                            <a:avLst/>
                          </a:prstGeom>
                        </pic:spPr>
                      </pic:pic>
                    </a:graphicData>
                  </a:graphic>
                </wp:inline>
              </w:drawing>
            </w:r>
          </w:p>
        </w:tc>
        <w:tc>
          <w:tcPr>
            <w:tcW w:w="3019" w:type="dxa"/>
          </w:tcPr>
          <w:p w14:paraId="0DF754F6" w14:textId="2FBC8318" w:rsidR="000D069C" w:rsidRDefault="002D3B36" w:rsidP="002D3B36">
            <w:pPr>
              <w:spacing w:before="100" w:beforeAutospacing="1" w:after="100" w:afterAutospacing="1"/>
              <w:jc w:val="center"/>
              <w:rPr>
                <w:rFonts w:ascii="Arial" w:eastAsia="Times New Roman" w:hAnsi="Arial" w:cs="Arial"/>
                <w:color w:val="000000"/>
                <w:sz w:val="22"/>
                <w:szCs w:val="22"/>
                <w:lang w:eastAsia="de-DE"/>
              </w:rPr>
            </w:pPr>
            <w:r>
              <w:rPr>
                <w:rFonts w:ascii="Arial" w:eastAsia="Times New Roman" w:hAnsi="Arial" w:cs="Arial"/>
                <w:noProof/>
                <w:color w:val="000000"/>
                <w:sz w:val="22"/>
                <w:szCs w:val="22"/>
                <w:lang w:eastAsia="de-DE"/>
              </w:rPr>
              <w:drawing>
                <wp:inline distT="0" distB="0" distL="0" distR="0" wp14:anchorId="6DFDEFC8" wp14:editId="7A27747C">
                  <wp:extent cx="1426684" cy="2136708"/>
                  <wp:effectExtent l="0" t="0" r="0" b="0"/>
                  <wp:docPr id="15341431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43166" name="Grafik 1534143166"/>
                          <pic:cNvPicPr/>
                        </pic:nvPicPr>
                        <pic:blipFill>
                          <a:blip r:embed="rId10"/>
                          <a:stretch>
                            <a:fillRect/>
                          </a:stretch>
                        </pic:blipFill>
                        <pic:spPr>
                          <a:xfrm>
                            <a:off x="0" y="0"/>
                            <a:ext cx="1464554" cy="2193424"/>
                          </a:xfrm>
                          <a:prstGeom prst="rect">
                            <a:avLst/>
                          </a:prstGeom>
                        </pic:spPr>
                      </pic:pic>
                    </a:graphicData>
                  </a:graphic>
                </wp:inline>
              </w:drawing>
            </w:r>
          </w:p>
        </w:tc>
      </w:tr>
      <w:tr w:rsidR="002D3B36" w14:paraId="47848781" w14:textId="77777777" w:rsidTr="00694DE4">
        <w:tc>
          <w:tcPr>
            <w:tcW w:w="3018" w:type="dxa"/>
          </w:tcPr>
          <w:p w14:paraId="5B97CFBE" w14:textId="6F05088B"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xml:space="preserve">Dr. med. Andreas Tandler-Schneider, Ärztlicher Leiter des </w:t>
            </w:r>
            <w:proofErr w:type="spellStart"/>
            <w:r>
              <w:rPr>
                <w:rFonts w:ascii="Arial" w:eastAsia="Times New Roman" w:hAnsi="Arial" w:cs="Arial"/>
                <w:color w:val="000000"/>
                <w:sz w:val="22"/>
                <w:szCs w:val="22"/>
                <w:lang w:eastAsia="de-DE"/>
              </w:rPr>
              <w:t>Fertility</w:t>
            </w:r>
            <w:proofErr w:type="spellEnd"/>
            <w:r>
              <w:rPr>
                <w:rFonts w:ascii="Arial" w:eastAsia="Times New Roman" w:hAnsi="Arial" w:cs="Arial"/>
                <w:color w:val="000000"/>
                <w:sz w:val="22"/>
                <w:szCs w:val="22"/>
                <w:lang w:eastAsia="de-DE"/>
              </w:rPr>
              <w:t xml:space="preserve"> Center Berlin und Vorstandsvorsitzender des Deutsches IVF-Register e.V. (D·I·R) </w:t>
            </w:r>
          </w:p>
        </w:tc>
        <w:tc>
          <w:tcPr>
            <w:tcW w:w="3019" w:type="dxa"/>
          </w:tcPr>
          <w:p w14:paraId="15BD5D62" w14:textId="2F25ADA4"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Prof. Dr. med. Jan-Steffen Krüssel, Leiter des UniKiD der Universitätsklinik Düsseldorf und Vorstandsmitglied des Deutsches IVF-Register e.V. (D·I·R)</w:t>
            </w:r>
          </w:p>
        </w:tc>
        <w:tc>
          <w:tcPr>
            <w:tcW w:w="3019" w:type="dxa"/>
          </w:tcPr>
          <w:p w14:paraId="1CB42F3A" w14:textId="392420FF" w:rsidR="000D069C" w:rsidRDefault="002D3B36" w:rsidP="00E53BE1">
            <w:pPr>
              <w:spacing w:before="100" w:beforeAutospacing="1" w:after="100" w:afterAutospacing="1"/>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xml:space="preserve">Dr. med. Sascha Tauchert, Partner </w:t>
            </w:r>
            <w:proofErr w:type="gramStart"/>
            <w:r>
              <w:rPr>
                <w:rFonts w:ascii="Arial" w:eastAsia="Times New Roman" w:hAnsi="Arial" w:cs="Arial"/>
                <w:color w:val="000000"/>
                <w:sz w:val="22"/>
                <w:szCs w:val="22"/>
                <w:lang w:eastAsia="de-DE"/>
              </w:rPr>
              <w:t>im IVF-Saar</w:t>
            </w:r>
            <w:proofErr w:type="gramEnd"/>
            <w:r>
              <w:rPr>
                <w:rFonts w:ascii="Arial" w:eastAsia="Times New Roman" w:hAnsi="Arial" w:cs="Arial"/>
                <w:color w:val="000000"/>
                <w:sz w:val="22"/>
                <w:szCs w:val="22"/>
                <w:lang w:eastAsia="de-DE"/>
              </w:rPr>
              <w:t xml:space="preserve"> in Saarbrücken und Vorstandsmitglied des Deutsches IVF-Register e.V. (D·I·R)</w:t>
            </w:r>
          </w:p>
        </w:tc>
      </w:tr>
    </w:tbl>
    <w:p w14:paraId="29A6BC7E" w14:textId="77777777" w:rsidR="002D3B36" w:rsidRDefault="002D3B36" w:rsidP="00234CEF">
      <w:pPr>
        <w:widowControl w:val="0"/>
        <w:autoSpaceDE w:val="0"/>
        <w:autoSpaceDN w:val="0"/>
        <w:adjustRightInd w:val="0"/>
        <w:rPr>
          <w:rFonts w:ascii="Arial" w:hAnsi="Arial" w:cs="Arial"/>
          <w:sz w:val="22"/>
          <w:szCs w:val="22"/>
        </w:rPr>
      </w:pPr>
    </w:p>
    <w:sectPr w:rsidR="002D3B36" w:rsidSect="00C47A9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B38A1" w14:textId="77777777" w:rsidR="008F0E98" w:rsidRDefault="008F0E98" w:rsidP="00DC7317">
      <w:r>
        <w:separator/>
      </w:r>
    </w:p>
  </w:endnote>
  <w:endnote w:type="continuationSeparator" w:id="0">
    <w:p w14:paraId="59A9D1DB" w14:textId="77777777" w:rsidR="008F0E98" w:rsidRDefault="008F0E98" w:rsidP="00DC7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90281" w14:textId="77777777" w:rsidR="008F0E98" w:rsidRDefault="008F0E98" w:rsidP="00DC7317">
      <w:r>
        <w:separator/>
      </w:r>
    </w:p>
  </w:footnote>
  <w:footnote w:type="continuationSeparator" w:id="0">
    <w:p w14:paraId="5BF258D0" w14:textId="77777777" w:rsidR="008F0E98" w:rsidRDefault="008F0E98" w:rsidP="00DC73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02947B9"/>
    <w:multiLevelType w:val="multilevel"/>
    <w:tmpl w:val="A650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6715198">
    <w:abstractNumId w:val="0"/>
  </w:num>
  <w:num w:numId="2" w16cid:durableId="1525242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741"/>
    <w:rsid w:val="00022491"/>
    <w:rsid w:val="000247E4"/>
    <w:rsid w:val="000364B4"/>
    <w:rsid w:val="00050DF5"/>
    <w:rsid w:val="00062529"/>
    <w:rsid w:val="000A0C02"/>
    <w:rsid w:val="000D069C"/>
    <w:rsid w:val="000D7E0F"/>
    <w:rsid w:val="000F6810"/>
    <w:rsid w:val="00112929"/>
    <w:rsid w:val="0013784B"/>
    <w:rsid w:val="001738B3"/>
    <w:rsid w:val="00187D17"/>
    <w:rsid w:val="001B6A8A"/>
    <w:rsid w:val="001C0F24"/>
    <w:rsid w:val="001C3157"/>
    <w:rsid w:val="001D02B3"/>
    <w:rsid w:val="001E5853"/>
    <w:rsid w:val="00224D5D"/>
    <w:rsid w:val="00225313"/>
    <w:rsid w:val="00234CEF"/>
    <w:rsid w:val="00253641"/>
    <w:rsid w:val="00261936"/>
    <w:rsid w:val="0026450C"/>
    <w:rsid w:val="00271515"/>
    <w:rsid w:val="00275376"/>
    <w:rsid w:val="002B094F"/>
    <w:rsid w:val="002D3B36"/>
    <w:rsid w:val="00306B0E"/>
    <w:rsid w:val="00313223"/>
    <w:rsid w:val="00321120"/>
    <w:rsid w:val="00332E10"/>
    <w:rsid w:val="003648FC"/>
    <w:rsid w:val="003B7AE4"/>
    <w:rsid w:val="003D2D78"/>
    <w:rsid w:val="003E0BB1"/>
    <w:rsid w:val="003E59FC"/>
    <w:rsid w:val="003F630E"/>
    <w:rsid w:val="00403932"/>
    <w:rsid w:val="00432D44"/>
    <w:rsid w:val="0043620C"/>
    <w:rsid w:val="00454644"/>
    <w:rsid w:val="00465E17"/>
    <w:rsid w:val="004A64AE"/>
    <w:rsid w:val="004C042E"/>
    <w:rsid w:val="004D6361"/>
    <w:rsid w:val="004F2B82"/>
    <w:rsid w:val="005035C2"/>
    <w:rsid w:val="00514464"/>
    <w:rsid w:val="0052138E"/>
    <w:rsid w:val="00531C62"/>
    <w:rsid w:val="00533B36"/>
    <w:rsid w:val="00536424"/>
    <w:rsid w:val="00545B43"/>
    <w:rsid w:val="0055278A"/>
    <w:rsid w:val="00562F4A"/>
    <w:rsid w:val="005750B3"/>
    <w:rsid w:val="005847BE"/>
    <w:rsid w:val="00584E57"/>
    <w:rsid w:val="005B133E"/>
    <w:rsid w:val="005D0BA7"/>
    <w:rsid w:val="005F75E0"/>
    <w:rsid w:val="006109DD"/>
    <w:rsid w:val="00635DCB"/>
    <w:rsid w:val="00637FF7"/>
    <w:rsid w:val="00651044"/>
    <w:rsid w:val="00684040"/>
    <w:rsid w:val="00694DE4"/>
    <w:rsid w:val="006A0EFD"/>
    <w:rsid w:val="006C1FD2"/>
    <w:rsid w:val="006C507B"/>
    <w:rsid w:val="006C7023"/>
    <w:rsid w:val="006D0954"/>
    <w:rsid w:val="006D1DF5"/>
    <w:rsid w:val="006D5C35"/>
    <w:rsid w:val="006F4E69"/>
    <w:rsid w:val="007217EE"/>
    <w:rsid w:val="00730123"/>
    <w:rsid w:val="00767CF5"/>
    <w:rsid w:val="007701A6"/>
    <w:rsid w:val="0078021F"/>
    <w:rsid w:val="007933F4"/>
    <w:rsid w:val="007A3FD0"/>
    <w:rsid w:val="007C10B0"/>
    <w:rsid w:val="007D195A"/>
    <w:rsid w:val="007E4850"/>
    <w:rsid w:val="00802428"/>
    <w:rsid w:val="008033CC"/>
    <w:rsid w:val="00805EAF"/>
    <w:rsid w:val="008A7EF4"/>
    <w:rsid w:val="008B36BC"/>
    <w:rsid w:val="008C2FCC"/>
    <w:rsid w:val="008D337E"/>
    <w:rsid w:val="008D6BC3"/>
    <w:rsid w:val="008E2821"/>
    <w:rsid w:val="008E3E90"/>
    <w:rsid w:val="008F0E98"/>
    <w:rsid w:val="009075A4"/>
    <w:rsid w:val="00975416"/>
    <w:rsid w:val="009861AB"/>
    <w:rsid w:val="0099303C"/>
    <w:rsid w:val="009B7F30"/>
    <w:rsid w:val="009C40E6"/>
    <w:rsid w:val="009C66C2"/>
    <w:rsid w:val="009F0C7B"/>
    <w:rsid w:val="009F4D23"/>
    <w:rsid w:val="00A426DF"/>
    <w:rsid w:val="00A5026F"/>
    <w:rsid w:val="00A61637"/>
    <w:rsid w:val="00A72786"/>
    <w:rsid w:val="00AB314D"/>
    <w:rsid w:val="00AB5741"/>
    <w:rsid w:val="00AC6F4E"/>
    <w:rsid w:val="00B105D1"/>
    <w:rsid w:val="00B434CD"/>
    <w:rsid w:val="00B43C33"/>
    <w:rsid w:val="00B56CA6"/>
    <w:rsid w:val="00B723C5"/>
    <w:rsid w:val="00B7517A"/>
    <w:rsid w:val="00B801B1"/>
    <w:rsid w:val="00B87A33"/>
    <w:rsid w:val="00BA2C2E"/>
    <w:rsid w:val="00BC542D"/>
    <w:rsid w:val="00BD7CFF"/>
    <w:rsid w:val="00BE28A9"/>
    <w:rsid w:val="00BF7828"/>
    <w:rsid w:val="00C02616"/>
    <w:rsid w:val="00C07AF2"/>
    <w:rsid w:val="00C11C49"/>
    <w:rsid w:val="00C2352B"/>
    <w:rsid w:val="00C3640A"/>
    <w:rsid w:val="00C47A97"/>
    <w:rsid w:val="00C54311"/>
    <w:rsid w:val="00C54AF2"/>
    <w:rsid w:val="00C7250E"/>
    <w:rsid w:val="00C74541"/>
    <w:rsid w:val="00C8745D"/>
    <w:rsid w:val="00C906F1"/>
    <w:rsid w:val="00CB658D"/>
    <w:rsid w:val="00CB7EB0"/>
    <w:rsid w:val="00CC2BE9"/>
    <w:rsid w:val="00CF700F"/>
    <w:rsid w:val="00D16CA9"/>
    <w:rsid w:val="00D27EF6"/>
    <w:rsid w:val="00D51D60"/>
    <w:rsid w:val="00D52FFE"/>
    <w:rsid w:val="00D672A8"/>
    <w:rsid w:val="00D74378"/>
    <w:rsid w:val="00D812EE"/>
    <w:rsid w:val="00D82E9D"/>
    <w:rsid w:val="00D965F9"/>
    <w:rsid w:val="00DA4F80"/>
    <w:rsid w:val="00DA5661"/>
    <w:rsid w:val="00DB18AF"/>
    <w:rsid w:val="00DC7317"/>
    <w:rsid w:val="00E309D0"/>
    <w:rsid w:val="00E44470"/>
    <w:rsid w:val="00E47F3C"/>
    <w:rsid w:val="00E53BE1"/>
    <w:rsid w:val="00E743D7"/>
    <w:rsid w:val="00E91F78"/>
    <w:rsid w:val="00EA08D1"/>
    <w:rsid w:val="00EA6250"/>
    <w:rsid w:val="00EA76EA"/>
    <w:rsid w:val="00EB0121"/>
    <w:rsid w:val="00EB34A1"/>
    <w:rsid w:val="00F0316E"/>
    <w:rsid w:val="00F23871"/>
    <w:rsid w:val="00F42A8E"/>
    <w:rsid w:val="00F45D7A"/>
    <w:rsid w:val="00F4750F"/>
    <w:rsid w:val="00F6123E"/>
    <w:rsid w:val="00F76A73"/>
    <w:rsid w:val="00F9582B"/>
    <w:rsid w:val="00FB0425"/>
    <w:rsid w:val="00FB4354"/>
    <w:rsid w:val="00FB4B3F"/>
    <w:rsid w:val="00FB7082"/>
    <w:rsid w:val="00FC510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20EB75"/>
  <w15:docId w15:val="{3DB0C9D5-3BC4-2546-A2B1-8B6076EB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5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AB5741"/>
  </w:style>
  <w:style w:type="character" w:styleId="Hyperlink">
    <w:name w:val="Hyperlink"/>
    <w:basedOn w:val="Absatz-Standardschriftart"/>
    <w:uiPriority w:val="99"/>
    <w:semiHidden/>
    <w:unhideWhenUsed/>
    <w:rsid w:val="00AB5741"/>
    <w:rPr>
      <w:color w:val="0000FF"/>
      <w:u w:val="single"/>
    </w:rPr>
  </w:style>
  <w:style w:type="paragraph" w:styleId="StandardWeb">
    <w:name w:val="Normal (Web)"/>
    <w:basedOn w:val="Standard"/>
    <w:uiPriority w:val="99"/>
    <w:unhideWhenUsed/>
    <w:rsid w:val="009C40E6"/>
    <w:pPr>
      <w:spacing w:before="100" w:beforeAutospacing="1" w:after="100" w:afterAutospacing="1"/>
    </w:pPr>
    <w:rPr>
      <w:rFonts w:ascii="Times New Roman" w:hAnsi="Times New Roman" w:cs="Times New Roman"/>
      <w:sz w:val="20"/>
      <w:szCs w:val="20"/>
      <w:lang w:eastAsia="de-DE"/>
    </w:rPr>
  </w:style>
  <w:style w:type="character" w:customStyle="1" w:styleId="caps">
    <w:name w:val="caps"/>
    <w:basedOn w:val="Absatz-Standardschriftart"/>
    <w:rsid w:val="009C40E6"/>
  </w:style>
  <w:style w:type="paragraph" w:styleId="Kopfzeile">
    <w:name w:val="header"/>
    <w:basedOn w:val="Standard"/>
    <w:link w:val="KopfzeileZchn"/>
    <w:uiPriority w:val="99"/>
    <w:unhideWhenUsed/>
    <w:rsid w:val="00DC7317"/>
    <w:pPr>
      <w:tabs>
        <w:tab w:val="center" w:pos="4536"/>
        <w:tab w:val="right" w:pos="9072"/>
      </w:tabs>
    </w:pPr>
  </w:style>
  <w:style w:type="character" w:customStyle="1" w:styleId="KopfzeileZchn">
    <w:name w:val="Kopfzeile Zchn"/>
    <w:basedOn w:val="Absatz-Standardschriftart"/>
    <w:link w:val="Kopfzeile"/>
    <w:uiPriority w:val="99"/>
    <w:rsid w:val="00DC7317"/>
  </w:style>
  <w:style w:type="paragraph" w:styleId="Fuzeile">
    <w:name w:val="footer"/>
    <w:basedOn w:val="Standard"/>
    <w:link w:val="FuzeileZchn"/>
    <w:uiPriority w:val="99"/>
    <w:unhideWhenUsed/>
    <w:rsid w:val="00DC7317"/>
    <w:pPr>
      <w:tabs>
        <w:tab w:val="center" w:pos="4536"/>
        <w:tab w:val="right" w:pos="9072"/>
      </w:tabs>
    </w:pPr>
  </w:style>
  <w:style w:type="character" w:customStyle="1" w:styleId="FuzeileZchn">
    <w:name w:val="Fußzeile Zchn"/>
    <w:basedOn w:val="Absatz-Standardschriftart"/>
    <w:link w:val="Fuzeile"/>
    <w:uiPriority w:val="99"/>
    <w:rsid w:val="00DC7317"/>
  </w:style>
  <w:style w:type="character" w:styleId="Fett">
    <w:name w:val="Strong"/>
    <w:basedOn w:val="Absatz-Standardschriftart"/>
    <w:uiPriority w:val="22"/>
    <w:qFormat/>
    <w:rsid w:val="003D2D78"/>
    <w:rPr>
      <w:b/>
      <w:bCs/>
    </w:rPr>
  </w:style>
  <w:style w:type="table" w:styleId="Tabellenraster">
    <w:name w:val="Table Grid"/>
    <w:basedOn w:val="NormaleTabelle"/>
    <w:uiPriority w:val="39"/>
    <w:rsid w:val="000D0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84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544110">
      <w:bodyDiv w:val="1"/>
      <w:marLeft w:val="0"/>
      <w:marRight w:val="0"/>
      <w:marTop w:val="0"/>
      <w:marBottom w:val="0"/>
      <w:divBdr>
        <w:top w:val="none" w:sz="0" w:space="0" w:color="auto"/>
        <w:left w:val="none" w:sz="0" w:space="0" w:color="auto"/>
        <w:bottom w:val="none" w:sz="0" w:space="0" w:color="auto"/>
        <w:right w:val="none" w:sz="0" w:space="0" w:color="auto"/>
      </w:divBdr>
      <w:divsChild>
        <w:div w:id="799225256">
          <w:marLeft w:val="0"/>
          <w:marRight w:val="0"/>
          <w:marTop w:val="0"/>
          <w:marBottom w:val="0"/>
          <w:divBdr>
            <w:top w:val="none" w:sz="0" w:space="0" w:color="auto"/>
            <w:left w:val="none" w:sz="0" w:space="0" w:color="auto"/>
            <w:bottom w:val="none" w:sz="0" w:space="0" w:color="auto"/>
            <w:right w:val="none" w:sz="0" w:space="0" w:color="auto"/>
          </w:divBdr>
          <w:divsChild>
            <w:div w:id="877552391">
              <w:marLeft w:val="0"/>
              <w:marRight w:val="0"/>
              <w:marTop w:val="0"/>
              <w:marBottom w:val="0"/>
              <w:divBdr>
                <w:top w:val="none" w:sz="0" w:space="0" w:color="auto"/>
                <w:left w:val="none" w:sz="0" w:space="0" w:color="auto"/>
                <w:bottom w:val="none" w:sz="0" w:space="0" w:color="auto"/>
                <w:right w:val="none" w:sz="0" w:space="0" w:color="auto"/>
              </w:divBdr>
              <w:divsChild>
                <w:div w:id="1567573338">
                  <w:marLeft w:val="0"/>
                  <w:marRight w:val="0"/>
                  <w:marTop w:val="0"/>
                  <w:marBottom w:val="0"/>
                  <w:divBdr>
                    <w:top w:val="none" w:sz="0" w:space="0" w:color="auto"/>
                    <w:left w:val="none" w:sz="0" w:space="0" w:color="auto"/>
                    <w:bottom w:val="none" w:sz="0" w:space="0" w:color="auto"/>
                    <w:right w:val="none" w:sz="0" w:space="0" w:color="auto"/>
                  </w:divBdr>
                  <w:divsChild>
                    <w:div w:id="17523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00364">
      <w:bodyDiv w:val="1"/>
      <w:marLeft w:val="0"/>
      <w:marRight w:val="0"/>
      <w:marTop w:val="0"/>
      <w:marBottom w:val="0"/>
      <w:divBdr>
        <w:top w:val="none" w:sz="0" w:space="0" w:color="auto"/>
        <w:left w:val="none" w:sz="0" w:space="0" w:color="auto"/>
        <w:bottom w:val="none" w:sz="0" w:space="0" w:color="auto"/>
        <w:right w:val="none" w:sz="0" w:space="0" w:color="auto"/>
      </w:divBdr>
    </w:div>
    <w:div w:id="952707926">
      <w:bodyDiv w:val="1"/>
      <w:marLeft w:val="0"/>
      <w:marRight w:val="0"/>
      <w:marTop w:val="0"/>
      <w:marBottom w:val="0"/>
      <w:divBdr>
        <w:top w:val="none" w:sz="0" w:space="0" w:color="auto"/>
        <w:left w:val="none" w:sz="0" w:space="0" w:color="auto"/>
        <w:bottom w:val="none" w:sz="0" w:space="0" w:color="auto"/>
        <w:right w:val="none" w:sz="0" w:space="0" w:color="auto"/>
      </w:divBdr>
      <w:divsChild>
        <w:div w:id="1293288323">
          <w:marLeft w:val="0"/>
          <w:marRight w:val="0"/>
          <w:marTop w:val="0"/>
          <w:marBottom w:val="0"/>
          <w:divBdr>
            <w:top w:val="none" w:sz="0" w:space="0" w:color="auto"/>
            <w:left w:val="none" w:sz="0" w:space="0" w:color="auto"/>
            <w:bottom w:val="none" w:sz="0" w:space="0" w:color="auto"/>
            <w:right w:val="none" w:sz="0" w:space="0" w:color="auto"/>
          </w:divBdr>
          <w:divsChild>
            <w:div w:id="1764572173">
              <w:marLeft w:val="0"/>
              <w:marRight w:val="0"/>
              <w:marTop w:val="0"/>
              <w:marBottom w:val="0"/>
              <w:divBdr>
                <w:top w:val="none" w:sz="0" w:space="0" w:color="auto"/>
                <w:left w:val="none" w:sz="0" w:space="0" w:color="auto"/>
                <w:bottom w:val="none" w:sz="0" w:space="0" w:color="auto"/>
                <w:right w:val="none" w:sz="0" w:space="0" w:color="auto"/>
              </w:divBdr>
              <w:divsChild>
                <w:div w:id="622541210">
                  <w:marLeft w:val="0"/>
                  <w:marRight w:val="0"/>
                  <w:marTop w:val="0"/>
                  <w:marBottom w:val="0"/>
                  <w:divBdr>
                    <w:top w:val="none" w:sz="0" w:space="0" w:color="auto"/>
                    <w:left w:val="none" w:sz="0" w:space="0" w:color="auto"/>
                    <w:bottom w:val="none" w:sz="0" w:space="0" w:color="auto"/>
                    <w:right w:val="none" w:sz="0" w:space="0" w:color="auto"/>
                  </w:divBdr>
                  <w:divsChild>
                    <w:div w:id="20109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4704">
      <w:bodyDiv w:val="1"/>
      <w:marLeft w:val="0"/>
      <w:marRight w:val="0"/>
      <w:marTop w:val="0"/>
      <w:marBottom w:val="0"/>
      <w:divBdr>
        <w:top w:val="none" w:sz="0" w:space="0" w:color="auto"/>
        <w:left w:val="none" w:sz="0" w:space="0" w:color="auto"/>
        <w:bottom w:val="none" w:sz="0" w:space="0" w:color="auto"/>
        <w:right w:val="none" w:sz="0" w:space="0" w:color="auto"/>
      </w:divBdr>
    </w:div>
    <w:div w:id="1348828249">
      <w:bodyDiv w:val="1"/>
      <w:marLeft w:val="0"/>
      <w:marRight w:val="0"/>
      <w:marTop w:val="0"/>
      <w:marBottom w:val="0"/>
      <w:divBdr>
        <w:top w:val="none" w:sz="0" w:space="0" w:color="auto"/>
        <w:left w:val="none" w:sz="0" w:space="0" w:color="auto"/>
        <w:bottom w:val="none" w:sz="0" w:space="0" w:color="auto"/>
        <w:right w:val="none" w:sz="0" w:space="0" w:color="auto"/>
      </w:divBdr>
    </w:div>
    <w:div w:id="2086490944">
      <w:bodyDiv w:val="1"/>
      <w:marLeft w:val="0"/>
      <w:marRight w:val="0"/>
      <w:marTop w:val="0"/>
      <w:marBottom w:val="0"/>
      <w:divBdr>
        <w:top w:val="none" w:sz="0" w:space="0" w:color="auto"/>
        <w:left w:val="none" w:sz="0" w:space="0" w:color="auto"/>
        <w:bottom w:val="none" w:sz="0" w:space="0" w:color="auto"/>
        <w:right w:val="none" w:sz="0" w:space="0" w:color="auto"/>
      </w:divBdr>
      <w:divsChild>
        <w:div w:id="596987955">
          <w:marLeft w:val="0"/>
          <w:marRight w:val="0"/>
          <w:marTop w:val="0"/>
          <w:marBottom w:val="0"/>
          <w:divBdr>
            <w:top w:val="none" w:sz="0" w:space="0" w:color="auto"/>
            <w:left w:val="none" w:sz="0" w:space="0" w:color="auto"/>
            <w:bottom w:val="none" w:sz="0" w:space="0" w:color="auto"/>
            <w:right w:val="none" w:sz="0" w:space="0" w:color="auto"/>
          </w:divBdr>
        </w:div>
        <w:div w:id="1184444315">
          <w:marLeft w:val="0"/>
          <w:marRight w:val="0"/>
          <w:marTop w:val="0"/>
          <w:marBottom w:val="0"/>
          <w:divBdr>
            <w:top w:val="none" w:sz="0" w:space="0" w:color="auto"/>
            <w:left w:val="none" w:sz="0" w:space="0" w:color="auto"/>
            <w:bottom w:val="none" w:sz="0" w:space="0" w:color="auto"/>
            <w:right w:val="none" w:sz="0" w:space="0" w:color="auto"/>
          </w:divBdr>
        </w:div>
        <w:div w:id="1582135307">
          <w:marLeft w:val="0"/>
          <w:marRight w:val="0"/>
          <w:marTop w:val="0"/>
          <w:marBottom w:val="0"/>
          <w:divBdr>
            <w:top w:val="none" w:sz="0" w:space="0" w:color="auto"/>
            <w:left w:val="none" w:sz="0" w:space="0" w:color="auto"/>
            <w:bottom w:val="none" w:sz="0" w:space="0" w:color="auto"/>
            <w:right w:val="none" w:sz="0" w:space="0" w:color="auto"/>
          </w:divBdr>
        </w:div>
        <w:div w:id="1751539449">
          <w:marLeft w:val="0"/>
          <w:marRight w:val="0"/>
          <w:marTop w:val="0"/>
          <w:marBottom w:val="0"/>
          <w:divBdr>
            <w:top w:val="none" w:sz="0" w:space="0" w:color="auto"/>
            <w:left w:val="none" w:sz="0" w:space="0" w:color="auto"/>
            <w:bottom w:val="none" w:sz="0" w:space="0" w:color="auto"/>
            <w:right w:val="none" w:sz="0" w:space="0" w:color="auto"/>
          </w:divBdr>
        </w:div>
        <w:div w:id="479201681">
          <w:marLeft w:val="0"/>
          <w:marRight w:val="0"/>
          <w:marTop w:val="0"/>
          <w:marBottom w:val="0"/>
          <w:divBdr>
            <w:top w:val="none" w:sz="0" w:space="0" w:color="auto"/>
            <w:left w:val="none" w:sz="0" w:space="0" w:color="auto"/>
            <w:bottom w:val="none" w:sz="0" w:space="0" w:color="auto"/>
            <w:right w:val="none" w:sz="0" w:space="0" w:color="auto"/>
          </w:divBdr>
        </w:div>
        <w:div w:id="186069639">
          <w:marLeft w:val="0"/>
          <w:marRight w:val="0"/>
          <w:marTop w:val="0"/>
          <w:marBottom w:val="0"/>
          <w:divBdr>
            <w:top w:val="none" w:sz="0" w:space="0" w:color="auto"/>
            <w:left w:val="none" w:sz="0" w:space="0" w:color="auto"/>
            <w:bottom w:val="none" w:sz="0" w:space="0" w:color="auto"/>
            <w:right w:val="none" w:sz="0" w:space="0" w:color="auto"/>
          </w:divBdr>
        </w:div>
        <w:div w:id="1783527364">
          <w:marLeft w:val="0"/>
          <w:marRight w:val="0"/>
          <w:marTop w:val="0"/>
          <w:marBottom w:val="0"/>
          <w:divBdr>
            <w:top w:val="none" w:sz="0" w:space="0" w:color="auto"/>
            <w:left w:val="none" w:sz="0" w:space="0" w:color="auto"/>
            <w:bottom w:val="none" w:sz="0" w:space="0" w:color="auto"/>
            <w:right w:val="none" w:sz="0" w:space="0" w:color="auto"/>
          </w:divBdr>
        </w:div>
        <w:div w:id="1172138171">
          <w:marLeft w:val="0"/>
          <w:marRight w:val="0"/>
          <w:marTop w:val="0"/>
          <w:marBottom w:val="0"/>
          <w:divBdr>
            <w:top w:val="none" w:sz="0" w:space="0" w:color="auto"/>
            <w:left w:val="none" w:sz="0" w:space="0" w:color="auto"/>
            <w:bottom w:val="none" w:sz="0" w:space="0" w:color="auto"/>
            <w:right w:val="none" w:sz="0" w:space="0" w:color="auto"/>
          </w:divBdr>
        </w:div>
        <w:div w:id="1882474628">
          <w:marLeft w:val="0"/>
          <w:marRight w:val="0"/>
          <w:marTop w:val="0"/>
          <w:marBottom w:val="0"/>
          <w:divBdr>
            <w:top w:val="none" w:sz="0" w:space="0" w:color="auto"/>
            <w:left w:val="none" w:sz="0" w:space="0" w:color="auto"/>
            <w:bottom w:val="none" w:sz="0" w:space="0" w:color="auto"/>
            <w:right w:val="none" w:sz="0" w:space="0" w:color="auto"/>
          </w:divBdr>
        </w:div>
        <w:div w:id="392580175">
          <w:marLeft w:val="0"/>
          <w:marRight w:val="0"/>
          <w:marTop w:val="0"/>
          <w:marBottom w:val="0"/>
          <w:divBdr>
            <w:top w:val="none" w:sz="0" w:space="0" w:color="auto"/>
            <w:left w:val="none" w:sz="0" w:space="0" w:color="auto"/>
            <w:bottom w:val="none" w:sz="0" w:space="0" w:color="auto"/>
            <w:right w:val="none" w:sz="0" w:space="0" w:color="auto"/>
          </w:divBdr>
        </w:div>
        <w:div w:id="28453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1302</Words>
  <Characters>8208</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Markus Kimmel</cp:lastModifiedBy>
  <cp:revision>6</cp:revision>
  <cp:lastPrinted>2021-09-15T11:18:00Z</cp:lastPrinted>
  <dcterms:created xsi:type="dcterms:W3CDTF">2025-11-20T13:56:00Z</dcterms:created>
  <dcterms:modified xsi:type="dcterms:W3CDTF">2025-11-20T15:15:00Z</dcterms:modified>
</cp:coreProperties>
</file>